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76F4" w14:textId="11FCEDE4" w:rsidR="0024195E" w:rsidRPr="006B4A78" w:rsidRDefault="0024195E" w:rsidP="00A34B68">
      <w:pPr>
        <w:jc w:val="center"/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ما هي القوانين الكنسية المعتمد في كن</w:t>
      </w:r>
      <w:r w:rsidR="0090140E" w:rsidRPr="006B4A78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يس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تنا؟</w:t>
      </w:r>
      <w:r w:rsidR="00A34B68" w:rsidRPr="006B4A78">
        <w:rPr>
          <w:rStyle w:val="FootnoteReference"/>
          <w:rFonts w:ascii="Tahoma" w:hAnsi="Tahoma" w:cs="Tahoma"/>
          <w:b/>
          <w:bCs/>
          <w:sz w:val="32"/>
          <w:szCs w:val="32"/>
          <w:rtl/>
          <w:lang w:bidi="ar-IQ"/>
        </w:rPr>
        <w:footnoteReference w:id="1"/>
      </w:r>
    </w:p>
    <w:p w14:paraId="358BDB6C" w14:textId="77777777" w:rsidR="0024195E" w:rsidRPr="006B4A78" w:rsidRDefault="0024195E" w:rsidP="0024195E">
      <w:pPr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تاريخ: 7/3/1975</w:t>
      </w:r>
    </w:p>
    <w:p w14:paraId="516DA1AA" w14:textId="3FC19D95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إن موضوع الق</w:t>
      </w:r>
      <w:r w:rsidR="001D2E1D" w:rsidRPr="006B4A78">
        <w:rPr>
          <w:rFonts w:ascii="Tahoma" w:hAnsi="Tahoma" w:cs="Tahoma"/>
          <w:sz w:val="32"/>
          <w:szCs w:val="32"/>
          <w:rtl/>
          <w:lang w:bidi="ar-IQ"/>
        </w:rPr>
        <w:t>و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انين الكنسية هو موضوع عميق وواسع، وليس كل إنسان بمستطيع أن يدركه إدراكًا كامل</w:t>
      </w:r>
      <w:r w:rsidR="001D2E1D" w:rsidRPr="006B4A78">
        <w:rPr>
          <w:rFonts w:ascii="Tahoma" w:hAnsi="Tahoma" w:cs="Tahoma"/>
          <w:sz w:val="32"/>
          <w:szCs w:val="32"/>
          <w:rtl/>
          <w:lang w:bidi="ar-IQ"/>
        </w:rPr>
        <w:t>ً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ا، بروحه، وعمقه، وهدفه. </w:t>
      </w:r>
    </w:p>
    <w:p w14:paraId="75DFD204" w14:textId="2888D3BC" w:rsidR="0024195E" w:rsidRPr="006B4A78" w:rsidRDefault="0024195E" w:rsidP="0024195E">
      <w:pPr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وكثير من الأقباط يعتمدون اعتمادًا كبيرًا على مجموعة </w:t>
      </w:r>
      <w:r w:rsidR="00C2687A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ابن العسال</w:t>
      </w:r>
      <w:r w:rsidR="00C2687A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. و</w:t>
      </w:r>
      <w:r w:rsidR="00C2687A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ابن العسال</w:t>
      </w:r>
      <w:r w:rsidR="00C2687A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له أخطاء كثيرة جدًا. وهو في نظر علماء القانون مجرد جامع لا ناقد. </w:t>
      </w:r>
    </w:p>
    <w:p w14:paraId="2688ECCC" w14:textId="5F629CE2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لقد جمع كل ما وقع تحت يده من القوانين، السليم والزائف، المعتمد وغير المعتمد، حتى قوانين الملوك ضمها إلى قوانين الكنيسة أيضًا</w:t>
      </w:r>
      <w:r w:rsidR="0012736F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وبنفس طريقة </w:t>
      </w:r>
      <w:r w:rsidR="00C2687A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ابن العسال</w:t>
      </w:r>
      <w:r w:rsidR="00C2687A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، سلك </w:t>
      </w:r>
      <w:r w:rsidR="00C2687A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ابن كبر</w:t>
      </w:r>
      <w:r w:rsidR="00C2687A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، وبأخطاء أكثر. </w:t>
      </w:r>
    </w:p>
    <w:p w14:paraId="6DF125FF" w14:textId="78AD15DE" w:rsidR="0024195E" w:rsidRPr="006B4A78" w:rsidRDefault="0024195E" w:rsidP="0024195E">
      <w:pPr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وبقيت القوانين الكنسية في حاجة إلى من يجمعها، ويرت</w:t>
      </w:r>
      <w:r w:rsidR="007C1708" w:rsidRPr="006B4A78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ب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ها، ويحللها. ويكتبها بأسلوب العالم المتعمق</w:t>
      </w:r>
      <w:r w:rsidR="00BB3CD5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 ويفرق بين القوا</w:t>
      </w:r>
      <w:r w:rsidR="004F0CB6"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ني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ن المعتمدة وغير المتعمدة. </w:t>
      </w:r>
    </w:p>
    <w:p w14:paraId="574BAA50" w14:textId="0C742B45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بل أن بعض القوانين الكنسية صدرت في ظروف معين</w:t>
      </w:r>
      <w:r w:rsidR="00BB3CD5" w:rsidRPr="006B4A78">
        <w:rPr>
          <w:rFonts w:ascii="Tahoma" w:hAnsi="Tahoma" w:cs="Tahoma"/>
          <w:sz w:val="32"/>
          <w:szCs w:val="32"/>
          <w:rtl/>
          <w:lang w:bidi="ar-IQ"/>
        </w:rPr>
        <w:t>ة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، ولحاجة معينة ضاع وقتها</w:t>
      </w:r>
      <w:r w:rsidR="00BB3CD5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وهكذا ينبغي التفريق بين القوانين الثابتة والقوانين المؤقتة. </w:t>
      </w:r>
    </w:p>
    <w:p w14:paraId="0CD19083" w14:textId="77777777" w:rsidR="0024195E" w:rsidRPr="006B4A78" w:rsidRDefault="0024195E" w:rsidP="0024195E">
      <w:pPr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كما أن القوانين ليست كلها في درجة واحدة. </w:t>
      </w:r>
    </w:p>
    <w:p w14:paraId="5EA1B613" w14:textId="70494C6F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هناك قوانين خاصة بالعقيدة والإيمان، وهذه لا يمكن إطلاقًا</w:t>
      </w:r>
      <w:r w:rsidR="004F0CB6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ولا يحل لأحد أن يغير فيها ويبدل. وهناك قوانين خاصة بالعقوبات كانت تحكم على البعض بالحرمان من الكنيسة سنتين</w:t>
      </w:r>
      <w:r w:rsidR="00261ACD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أو ثلاثًا أو سبعًا</w:t>
      </w:r>
      <w:r w:rsidR="0096199C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وأحيانًا عشرين سنة أو أكثر. وهي قوان</w:t>
      </w:r>
      <w:r w:rsidR="00CF1343" w:rsidRPr="006B4A78">
        <w:rPr>
          <w:rFonts w:ascii="Tahoma" w:hAnsi="Tahoma" w:cs="Tahoma"/>
          <w:sz w:val="32"/>
          <w:szCs w:val="32"/>
          <w:rtl/>
          <w:lang w:bidi="ar-IQ"/>
        </w:rPr>
        <w:t xml:space="preserve">ين غير منفذة 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إطلاقًا في جيلنا</w:t>
      </w:r>
      <w:r w:rsidR="001B2BE1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وهناك قوانين خاصة بالنظام العام في الكنيسة، وقوانين أخرى خاصة بالطقس</w:t>
      </w:r>
      <w:r w:rsidR="001B2BE1" w:rsidRPr="006B4A78">
        <w:rPr>
          <w:rFonts w:ascii="Tahoma" w:hAnsi="Tahoma" w:cs="Tahoma"/>
          <w:sz w:val="32"/>
          <w:szCs w:val="32"/>
          <w:rtl/>
          <w:lang w:bidi="ar-IQ"/>
        </w:rPr>
        <w:t>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أو بالعبادة أو بغير ذلك من الأمور. </w:t>
      </w:r>
    </w:p>
    <w:p w14:paraId="7CD2D17D" w14:textId="0DAB603D" w:rsidR="0024195E" w:rsidRPr="006B4A78" w:rsidRDefault="0024195E" w:rsidP="0024195E">
      <w:pPr>
        <w:rPr>
          <w:rFonts w:ascii="Tahoma" w:hAnsi="Tahoma" w:cs="Tahoma"/>
          <w:b/>
          <w:bCs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وهناك قوانين أعادت الكنيسة فيها النظر، وأخرى تحتاج إلى </w:t>
      </w:r>
      <w:r w:rsidR="007C1708" w:rsidRPr="006B4A78">
        <w:rPr>
          <w:rFonts w:ascii="Tahoma" w:hAnsi="Tahoma" w:cs="Tahoma"/>
          <w:b/>
          <w:bCs/>
          <w:color w:val="800000"/>
          <w:sz w:val="32"/>
          <w:szCs w:val="32"/>
          <w:rtl/>
          <w:lang w:bidi="ar-IQ"/>
        </w:rPr>
        <w:t>إ</w:t>
      </w: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 xml:space="preserve">عادة نظر. وهناك أمور تحتاج من الكنيسة إلى تقنين. وقوانين الكنيسة تشمل ما يأتي: </w:t>
      </w:r>
    </w:p>
    <w:p w14:paraId="3EBB9967" w14:textId="77777777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lastRenderedPageBreak/>
        <w:t xml:space="preserve">1- قوانين الرسل، والدسقولية. </w:t>
      </w:r>
    </w:p>
    <w:p w14:paraId="3DF8DAF6" w14:textId="77777777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2- قوانين المجامع المسكونية الثلاثة. </w:t>
      </w:r>
    </w:p>
    <w:p w14:paraId="0EF4E158" w14:textId="429C28FE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3- قوانين المجامع المحلية وا</w:t>
      </w:r>
      <w:r w:rsidR="007C1708" w:rsidRPr="006B4A78">
        <w:rPr>
          <w:rFonts w:ascii="Tahoma" w:hAnsi="Tahoma" w:cs="Tahoma"/>
          <w:color w:val="800000"/>
          <w:sz w:val="32"/>
          <w:szCs w:val="32"/>
          <w:rtl/>
          <w:lang w:bidi="ar-IQ"/>
        </w:rPr>
        <w:t>لإ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قليمية المعتمدة في الكنيسة. </w:t>
      </w:r>
    </w:p>
    <w:p w14:paraId="63759581" w14:textId="3DC4B6CC" w:rsidR="0024195E" w:rsidRPr="006B4A78" w:rsidRDefault="0024195E" w:rsidP="0024195E">
      <w:pPr>
        <w:rPr>
          <w:rFonts w:ascii="Tahoma" w:hAnsi="Tahoma" w:cs="Tahoma"/>
          <w:sz w:val="32"/>
          <w:szCs w:val="32"/>
          <w:rtl/>
          <w:lang w:bidi="ar-IQ"/>
        </w:rPr>
      </w:pPr>
      <w:r w:rsidRPr="006B4A78">
        <w:rPr>
          <w:rFonts w:ascii="Tahoma" w:hAnsi="Tahoma" w:cs="Tahoma"/>
          <w:sz w:val="32"/>
          <w:szCs w:val="32"/>
          <w:rtl/>
          <w:lang w:bidi="ar-IQ"/>
        </w:rPr>
        <w:t>4- قوانين الآباء الكبار المعتمدة مثل قوانين</w:t>
      </w:r>
      <w:r w:rsidR="001B2BE1" w:rsidRPr="006B4A78">
        <w:rPr>
          <w:rFonts w:ascii="Tahoma" w:hAnsi="Tahoma" w:cs="Tahoma"/>
          <w:sz w:val="32"/>
          <w:szCs w:val="32"/>
          <w:rtl/>
          <w:lang w:bidi="ar-IQ"/>
        </w:rPr>
        <w:t>: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</w:t>
      </w:r>
      <w:r w:rsidR="001B2BE1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باسي</w:t>
      </w:r>
      <w:r w:rsidR="0044095F" w:rsidRPr="006B4A78">
        <w:rPr>
          <w:rFonts w:ascii="Tahoma" w:hAnsi="Tahoma" w:cs="Tahoma"/>
          <w:sz w:val="32"/>
          <w:szCs w:val="32"/>
          <w:rtl/>
          <w:lang w:bidi="ar-IQ"/>
        </w:rPr>
        <w:t>ليوس الكبير</w:t>
      </w:r>
      <w:r w:rsidR="001B2BE1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="0044095F" w:rsidRPr="006B4A78">
        <w:rPr>
          <w:rFonts w:ascii="Tahoma" w:hAnsi="Tahoma" w:cs="Tahoma"/>
          <w:sz w:val="32"/>
          <w:szCs w:val="32"/>
          <w:rtl/>
          <w:lang w:bidi="ar-IQ"/>
        </w:rPr>
        <w:t xml:space="preserve"> رئيس أساقفة قيصارية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كبادوكية، وقوانين</w:t>
      </w:r>
      <w:r w:rsidR="009C2FAC" w:rsidRPr="006B4A78">
        <w:rPr>
          <w:rFonts w:ascii="Tahoma" w:hAnsi="Tahoma" w:cs="Tahoma"/>
          <w:sz w:val="32"/>
          <w:szCs w:val="32"/>
          <w:rtl/>
          <w:lang w:bidi="ar-IQ"/>
        </w:rPr>
        <w:t>: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البابا </w:t>
      </w:r>
      <w:r w:rsidR="009C2FAC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بطرس خاتم الشهداء</w:t>
      </w:r>
      <w:r w:rsidR="009C2FAC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، والبابا </w:t>
      </w:r>
      <w:r w:rsidR="009C2FAC" w:rsidRPr="006B4A78">
        <w:rPr>
          <w:rFonts w:ascii="Tahoma" w:hAnsi="Tahoma" w:cs="Tahoma"/>
          <w:sz w:val="32"/>
          <w:szCs w:val="32"/>
          <w:rtl/>
          <w:lang w:bidi="ar-IQ"/>
        </w:rPr>
        <w:t>"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>تيموثاوس الإسكندري</w:t>
      </w:r>
      <w:r w:rsidR="009C2FAC" w:rsidRPr="006B4A78">
        <w:rPr>
          <w:rFonts w:ascii="Tahoma" w:hAnsi="Tahoma" w:cs="Tahoma"/>
          <w:sz w:val="32"/>
          <w:szCs w:val="32"/>
          <w:rtl/>
          <w:lang w:bidi="ar-IQ"/>
        </w:rPr>
        <w:t>"،</w:t>
      </w:r>
      <w:r w:rsidRPr="006B4A78">
        <w:rPr>
          <w:rFonts w:ascii="Tahoma" w:hAnsi="Tahoma" w:cs="Tahoma"/>
          <w:sz w:val="32"/>
          <w:szCs w:val="32"/>
          <w:rtl/>
          <w:lang w:bidi="ar-IQ"/>
        </w:rPr>
        <w:t xml:space="preserve"> وغيرهم وهناك قوانين صدرت في عصور متأخرة وتحتاج إلى مراجعة. </w:t>
      </w:r>
    </w:p>
    <w:p w14:paraId="30F559F8" w14:textId="77777777" w:rsidR="00C36450" w:rsidRPr="006B4A78" w:rsidRDefault="0024195E" w:rsidP="0024195E">
      <w:pPr>
        <w:rPr>
          <w:rFonts w:ascii="Tahoma" w:hAnsi="Tahoma" w:cs="Tahoma"/>
          <w:b/>
          <w:bCs/>
          <w:sz w:val="32"/>
          <w:szCs w:val="32"/>
          <w:lang w:bidi="ar-IQ"/>
        </w:rPr>
      </w:pPr>
      <w:r w:rsidRPr="006B4A78">
        <w:rPr>
          <w:rFonts w:ascii="Tahoma" w:hAnsi="Tahoma" w:cs="Tahoma"/>
          <w:b/>
          <w:bCs/>
          <w:sz w:val="32"/>
          <w:szCs w:val="32"/>
          <w:rtl/>
          <w:lang w:bidi="ar-IQ"/>
        </w:rPr>
        <w:t>وقد أصدر قداسة البابا أمره بتجميع وتبويب القوانين، لكي يكون للكنيسة كتاب قوانين معتمد يشمل كل ما توافق عليه من قوانين خلال عصور تاريخها.</w:t>
      </w:r>
    </w:p>
    <w:sectPr w:rsidR="00C36450" w:rsidRPr="006B4A78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13E93" w14:textId="77777777" w:rsidR="00AC463D" w:rsidRDefault="00AC463D" w:rsidP="00A34B68">
      <w:pPr>
        <w:spacing w:after="0" w:line="240" w:lineRule="auto"/>
      </w:pPr>
      <w:r>
        <w:separator/>
      </w:r>
    </w:p>
  </w:endnote>
  <w:endnote w:type="continuationSeparator" w:id="0">
    <w:p w14:paraId="76CCC027" w14:textId="77777777" w:rsidR="00AC463D" w:rsidRDefault="00AC463D" w:rsidP="00A3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F7AD6" w14:textId="77777777" w:rsidR="00AC463D" w:rsidRDefault="00AC463D" w:rsidP="00A34B68">
      <w:pPr>
        <w:spacing w:after="0" w:line="240" w:lineRule="auto"/>
      </w:pPr>
      <w:r>
        <w:separator/>
      </w:r>
    </w:p>
  </w:footnote>
  <w:footnote w:type="continuationSeparator" w:id="0">
    <w:p w14:paraId="7914202F" w14:textId="77777777" w:rsidR="00AC463D" w:rsidRDefault="00AC463D" w:rsidP="00A34B68">
      <w:pPr>
        <w:spacing w:after="0" w:line="240" w:lineRule="auto"/>
      </w:pPr>
      <w:r>
        <w:continuationSeparator/>
      </w:r>
    </w:p>
  </w:footnote>
  <w:footnote w:id="1">
    <w:p w14:paraId="2F3EF330" w14:textId="5D37A711" w:rsidR="00A34B68" w:rsidRPr="00A34B68" w:rsidRDefault="00A34B68" w:rsidP="00A34B68">
      <w:pPr>
        <w:pStyle w:val="FootnoteText"/>
        <w:rPr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 w:rsidR="00C40F3A">
        <w:rPr>
          <w:rFonts w:hint="cs"/>
          <w:rtl/>
          <w:lang w:bidi="ar-EG"/>
        </w:rPr>
        <w:t>العاشر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7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مارس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84B"/>
    <w:rsid w:val="000A3C67"/>
    <w:rsid w:val="0012736F"/>
    <w:rsid w:val="00194432"/>
    <w:rsid w:val="001B2BE1"/>
    <w:rsid w:val="001D2E1D"/>
    <w:rsid w:val="0024195E"/>
    <w:rsid w:val="00261ACD"/>
    <w:rsid w:val="00316651"/>
    <w:rsid w:val="00403295"/>
    <w:rsid w:val="0044095F"/>
    <w:rsid w:val="004B297A"/>
    <w:rsid w:val="004F0CB6"/>
    <w:rsid w:val="006B4A78"/>
    <w:rsid w:val="006F368A"/>
    <w:rsid w:val="007C1708"/>
    <w:rsid w:val="007F42FB"/>
    <w:rsid w:val="008C33CD"/>
    <w:rsid w:val="008E6C9F"/>
    <w:rsid w:val="0090140E"/>
    <w:rsid w:val="0096199C"/>
    <w:rsid w:val="009C2FAC"/>
    <w:rsid w:val="00A34B68"/>
    <w:rsid w:val="00AC463D"/>
    <w:rsid w:val="00B5384B"/>
    <w:rsid w:val="00BB3CD5"/>
    <w:rsid w:val="00C2687A"/>
    <w:rsid w:val="00C36450"/>
    <w:rsid w:val="00C40F3A"/>
    <w:rsid w:val="00CF1343"/>
    <w:rsid w:val="00E1627E"/>
    <w:rsid w:val="00E326BC"/>
    <w:rsid w:val="00E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F55E5"/>
  <w15:chartTrackingRefBased/>
  <w15:docId w15:val="{7202C4DB-9510-4331-B1AD-8EC10147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95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34B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4B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B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05610-025F-4B5C-BE21-01CA0A3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18</cp:revision>
  <dcterms:created xsi:type="dcterms:W3CDTF">2023-06-09T10:46:00Z</dcterms:created>
  <dcterms:modified xsi:type="dcterms:W3CDTF">2026-06-11T08:11:00Z</dcterms:modified>
</cp:coreProperties>
</file>