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D1AAA" w14:textId="77777777" w:rsidR="00000000" w:rsidRDefault="001976FA" w:rsidP="009C587B">
      <w:pPr>
        <w:pStyle w:val="Heading1"/>
        <w:bidi/>
        <w:jc w:val="center"/>
        <w:rPr>
          <w:rFonts w:eastAsia="Times New Roman"/>
        </w:rPr>
      </w:pPr>
      <w:r>
        <w:rPr>
          <w:rStyle w:val="Strong"/>
          <w:rFonts w:ascii="Tahoma" w:eastAsia="Times New Roman" w:hAnsi="Tahoma" w:cs="Tahoma"/>
          <w:b/>
          <w:bCs/>
          <w:color w:val="000000"/>
          <w:sz w:val="55"/>
          <w:szCs w:val="55"/>
          <w:rtl/>
        </w:rPr>
        <w:t>العقوبات الكنسي</w:t>
      </w:r>
      <w:r>
        <w:rPr>
          <w:rStyle w:val="Strong"/>
          <w:rFonts w:ascii="Tahoma" w:eastAsia="Times New Roman" w:hAnsi="Tahoma" w:cs="Tahoma"/>
          <w:b/>
          <w:bCs/>
          <w:color w:val="000000"/>
          <w:sz w:val="55"/>
          <w:szCs w:val="55"/>
          <w:rtl/>
        </w:rPr>
        <w:t>ة</w:t>
      </w:r>
      <w:hyperlink w:anchor="fn1" w:history="1">
        <w:r>
          <w:rPr>
            <w:rStyle w:val="Hyperlink"/>
            <w:rFonts w:ascii="Tahoma" w:eastAsia="Times New Roman" w:hAnsi="Tahoma" w:cs="Tahoma"/>
            <w:color w:val="000000"/>
            <w:sz w:val="27"/>
            <w:szCs w:val="27"/>
            <w:vertAlign w:val="superscript"/>
            <w:rtl/>
          </w:rPr>
          <w:t>1</w:t>
        </w:r>
      </w:hyperlink>
    </w:p>
    <w:p w14:paraId="4EA4AFCB" w14:textId="77777777" w:rsidR="00000000" w:rsidRDefault="001976FA" w:rsidP="009C587B">
      <w:pPr>
        <w:pStyle w:val="NormalWeb"/>
        <w:bidi/>
        <w:jc w:val="lowKashida"/>
        <w:rPr>
          <w:rtl/>
        </w:rPr>
      </w:pPr>
      <w:r>
        <w:rPr>
          <w:rFonts w:ascii="Tahoma" w:hAnsi="Tahoma" w:cs="Tahoma"/>
          <w:color w:val="000000"/>
          <w:sz w:val="27"/>
          <w:szCs w:val="27"/>
          <w:rtl/>
        </w:rPr>
        <w:t>1- العقوبات لا تتنافى مع صفات الوداعة والطيبة والرحمة.</w:t>
      </w:r>
    </w:p>
    <w:p w14:paraId="1EF8D5E4" w14:textId="069023FB" w:rsidR="00000000" w:rsidRDefault="001976FA" w:rsidP="009C587B">
      <w:pPr>
        <w:pStyle w:val="NormalWeb"/>
        <w:bidi/>
        <w:jc w:val="lowKashida"/>
        <w:rPr>
          <w:rtl/>
        </w:rPr>
      </w:pPr>
      <w:r>
        <w:rPr>
          <w:rFonts w:ascii="Tahoma" w:hAnsi="Tahoma" w:cs="Tahoma"/>
          <w:color w:val="000000"/>
          <w:sz w:val="27"/>
          <w:szCs w:val="27"/>
          <w:rtl/>
        </w:rPr>
        <w:t xml:space="preserve">فالله- تبارك اسمه- كان في بعض الأحيان يعاقب، على الرغم من أنه المثل الأعلى في الحب والحنان، وفي الرحمة والشفقة، وفي الطيبة والوداعة. كذلك فإن الرسل وآباء الكنيسة الأول كانوا يعاقبون على الرغم من مثالية </w:t>
      </w:r>
      <w:proofErr w:type="spellStart"/>
      <w:r>
        <w:rPr>
          <w:rFonts w:ascii="Tahoma" w:hAnsi="Tahoma" w:cs="Tahoma"/>
          <w:color w:val="000000"/>
          <w:sz w:val="27"/>
          <w:szCs w:val="27"/>
          <w:rtl/>
        </w:rPr>
        <w:t>روحياتهم</w:t>
      </w:r>
      <w:proofErr w:type="spellEnd"/>
      <w:r>
        <w:rPr>
          <w:rFonts w:ascii="Tahoma" w:hAnsi="Tahoma" w:cs="Tahoma"/>
          <w:color w:val="000000"/>
          <w:sz w:val="27"/>
          <w:szCs w:val="27"/>
          <w:rtl/>
        </w:rPr>
        <w:t xml:space="preserve">... والقوانين الكنسية </w:t>
      </w:r>
      <w:r w:rsidR="009C587B">
        <w:rPr>
          <w:rFonts w:ascii="Tahoma" w:hAnsi="Tahoma" w:cs="Tahoma" w:hint="cs"/>
          <w:color w:val="000000"/>
          <w:sz w:val="27"/>
          <w:szCs w:val="27"/>
          <w:rtl/>
        </w:rPr>
        <w:t>تحوي</w:t>
      </w:r>
      <w:r>
        <w:rPr>
          <w:rFonts w:ascii="Tahoma" w:hAnsi="Tahoma" w:cs="Tahoma"/>
          <w:color w:val="000000"/>
          <w:sz w:val="27"/>
          <w:szCs w:val="27"/>
          <w:rtl/>
        </w:rPr>
        <w:t xml:space="preserve"> باباُ مستفيضاً عن ا</w:t>
      </w:r>
      <w:r>
        <w:rPr>
          <w:rFonts w:ascii="Tahoma" w:hAnsi="Tahoma" w:cs="Tahoma"/>
          <w:color w:val="000000"/>
          <w:sz w:val="27"/>
          <w:szCs w:val="27"/>
          <w:rtl/>
        </w:rPr>
        <w:t>لعقوبة...</w:t>
      </w:r>
    </w:p>
    <w:p w14:paraId="4B3248D2" w14:textId="77777777" w:rsidR="00000000" w:rsidRDefault="001976FA" w:rsidP="009C587B">
      <w:pPr>
        <w:pStyle w:val="NormalWeb"/>
        <w:bidi/>
        <w:jc w:val="lowKashida"/>
        <w:rPr>
          <w:rtl/>
        </w:rPr>
      </w:pPr>
      <w:r>
        <w:rPr>
          <w:rStyle w:val="Strong"/>
          <w:rFonts w:ascii="Tahoma" w:hAnsi="Tahoma" w:cs="Tahoma"/>
          <w:color w:val="000000"/>
          <w:sz w:val="27"/>
          <w:szCs w:val="27"/>
          <w:rtl/>
        </w:rPr>
        <w:t>2- إذًا مبدأ العقوبة قائم. ولكن المهم هو من الذي له حق فرض العقوبة؟</w:t>
      </w:r>
    </w:p>
    <w:p w14:paraId="63207495" w14:textId="210DBE8E" w:rsidR="00000000" w:rsidRDefault="009C587B" w:rsidP="009C587B">
      <w:pPr>
        <w:pStyle w:val="NormalWeb"/>
        <w:bidi/>
        <w:jc w:val="lowKashida"/>
        <w:rPr>
          <w:rtl/>
        </w:rPr>
      </w:pPr>
      <w:r>
        <w:rPr>
          <w:rStyle w:val="Strong"/>
          <w:rFonts w:ascii="Tahoma" w:hAnsi="Tahoma" w:cs="Tahoma" w:hint="cs"/>
          <w:color w:val="000000"/>
          <w:sz w:val="27"/>
          <w:szCs w:val="27"/>
          <w:rtl/>
        </w:rPr>
        <w:t>ولأي</w:t>
      </w:r>
      <w:r w:rsidR="001976FA">
        <w:rPr>
          <w:rStyle w:val="Strong"/>
          <w:rFonts w:ascii="Tahoma" w:hAnsi="Tahoma" w:cs="Tahoma"/>
          <w:color w:val="000000"/>
          <w:sz w:val="27"/>
          <w:szCs w:val="27"/>
          <w:rtl/>
        </w:rPr>
        <w:t xml:space="preserve"> سبب نعاقب؟</w:t>
      </w:r>
    </w:p>
    <w:p w14:paraId="6F255F3A" w14:textId="77777777" w:rsidR="00000000" w:rsidRDefault="001976FA" w:rsidP="009C587B">
      <w:pPr>
        <w:pStyle w:val="NormalWeb"/>
        <w:bidi/>
        <w:jc w:val="lowKashida"/>
        <w:rPr>
          <w:rtl/>
        </w:rPr>
      </w:pPr>
      <w:r>
        <w:rPr>
          <w:rStyle w:val="Strong"/>
          <w:rFonts w:ascii="Tahoma" w:hAnsi="Tahoma" w:cs="Tahoma"/>
          <w:color w:val="000000"/>
          <w:sz w:val="27"/>
          <w:szCs w:val="27"/>
          <w:rtl/>
        </w:rPr>
        <w:t>ومن هو الذي تُفرض عليه العقوبة؟ وكيف؟ وما هو نوع ومدة العقوبة؟</w:t>
      </w:r>
    </w:p>
    <w:p w14:paraId="07C331E1" w14:textId="77777777" w:rsidR="00000000" w:rsidRDefault="001976FA" w:rsidP="009C587B">
      <w:pPr>
        <w:pStyle w:val="NormalWeb"/>
        <w:bidi/>
        <w:jc w:val="lowKashida"/>
        <w:rPr>
          <w:rtl/>
        </w:rPr>
      </w:pPr>
      <w:r>
        <w:rPr>
          <w:rFonts w:ascii="Tahoma" w:hAnsi="Tahoma" w:cs="Tahoma"/>
          <w:color w:val="000000"/>
          <w:sz w:val="27"/>
          <w:szCs w:val="27"/>
          <w:rtl/>
        </w:rPr>
        <w:t xml:space="preserve">3- أما الذي له حق فرض العقوبة فهو أب الاعتراف في الأخطاء الروحية التي تستحق العقوبة. ثم المجلس </w:t>
      </w:r>
      <w:proofErr w:type="spellStart"/>
      <w:r>
        <w:rPr>
          <w:rFonts w:ascii="Tahoma" w:hAnsi="Tahoma" w:cs="Tahoma"/>
          <w:color w:val="000000"/>
          <w:sz w:val="27"/>
          <w:szCs w:val="27"/>
          <w:rtl/>
        </w:rPr>
        <w:t>الإك</w:t>
      </w:r>
      <w:r>
        <w:rPr>
          <w:rFonts w:ascii="Tahoma" w:hAnsi="Tahoma" w:cs="Tahoma"/>
          <w:color w:val="000000"/>
          <w:sz w:val="27"/>
          <w:szCs w:val="27"/>
          <w:rtl/>
        </w:rPr>
        <w:t>ليريكي</w:t>
      </w:r>
      <w:proofErr w:type="spellEnd"/>
      <w:r>
        <w:rPr>
          <w:rFonts w:ascii="Tahoma" w:hAnsi="Tahoma" w:cs="Tahoma"/>
          <w:color w:val="000000"/>
          <w:sz w:val="27"/>
          <w:szCs w:val="27"/>
          <w:rtl/>
        </w:rPr>
        <w:t xml:space="preserve"> المحلى، والمجلس </w:t>
      </w:r>
      <w:proofErr w:type="spellStart"/>
      <w:r>
        <w:rPr>
          <w:rFonts w:ascii="Tahoma" w:hAnsi="Tahoma" w:cs="Tahoma"/>
          <w:color w:val="000000"/>
          <w:sz w:val="27"/>
          <w:szCs w:val="27"/>
          <w:rtl/>
        </w:rPr>
        <w:t>الإكليريكي</w:t>
      </w:r>
      <w:proofErr w:type="spellEnd"/>
      <w:r>
        <w:rPr>
          <w:rFonts w:ascii="Tahoma" w:hAnsi="Tahoma" w:cs="Tahoma"/>
          <w:color w:val="000000"/>
          <w:sz w:val="27"/>
          <w:szCs w:val="27"/>
          <w:rtl/>
        </w:rPr>
        <w:t>. وأخيرًا المجامع المقدسة المكانية والعامة.</w:t>
      </w:r>
    </w:p>
    <w:p w14:paraId="665D3750" w14:textId="77777777" w:rsidR="00000000" w:rsidRDefault="001976FA" w:rsidP="009C587B">
      <w:pPr>
        <w:pStyle w:val="NormalWeb"/>
        <w:bidi/>
        <w:jc w:val="lowKashida"/>
        <w:rPr>
          <w:rtl/>
        </w:rPr>
      </w:pPr>
      <w:r>
        <w:rPr>
          <w:rFonts w:ascii="Tahoma" w:hAnsi="Tahoma" w:cs="Tahoma"/>
          <w:color w:val="000000"/>
          <w:sz w:val="27"/>
          <w:szCs w:val="27"/>
          <w:rtl/>
        </w:rPr>
        <w:t>أما من الذي تفرض عليه العقوبة؟</w:t>
      </w:r>
    </w:p>
    <w:p w14:paraId="211FE935" w14:textId="77777777" w:rsidR="00000000" w:rsidRDefault="001976FA" w:rsidP="009C587B">
      <w:pPr>
        <w:pStyle w:val="NormalWeb"/>
        <w:bidi/>
        <w:jc w:val="lowKashida"/>
        <w:rPr>
          <w:rtl/>
        </w:rPr>
      </w:pPr>
      <w:r>
        <w:rPr>
          <w:rFonts w:ascii="Tahoma" w:hAnsi="Tahoma" w:cs="Tahoma"/>
          <w:color w:val="000000"/>
          <w:sz w:val="27"/>
          <w:szCs w:val="27"/>
          <w:rtl/>
        </w:rPr>
        <w:t>فهو إما العلماني، أو صاحب أية رتبة من درجات الإكليروس.</w:t>
      </w:r>
    </w:p>
    <w:p w14:paraId="6042545E" w14:textId="77777777" w:rsidR="00000000" w:rsidRDefault="001976FA" w:rsidP="009C587B">
      <w:pPr>
        <w:pStyle w:val="NormalWeb"/>
        <w:bidi/>
        <w:jc w:val="lowKashida"/>
        <w:rPr>
          <w:rtl/>
        </w:rPr>
      </w:pPr>
      <w:r>
        <w:rPr>
          <w:rFonts w:ascii="Tahoma" w:hAnsi="Tahoma" w:cs="Tahoma"/>
          <w:color w:val="000000"/>
          <w:sz w:val="27"/>
          <w:szCs w:val="27"/>
          <w:rtl/>
        </w:rPr>
        <w:t>4- أما كيف يُعاقب فهو موضوع طويل نود أن نشرحه بالتدريج:</w:t>
      </w:r>
    </w:p>
    <w:p w14:paraId="6BAB8A3D" w14:textId="77777777" w:rsidR="00000000" w:rsidRDefault="001976FA" w:rsidP="009C587B">
      <w:pPr>
        <w:pStyle w:val="NormalWeb"/>
        <w:bidi/>
        <w:jc w:val="lowKashida"/>
        <w:rPr>
          <w:rtl/>
        </w:rPr>
      </w:pPr>
      <w:r>
        <w:rPr>
          <w:rFonts w:ascii="Tahoma" w:hAnsi="Tahoma" w:cs="Tahoma"/>
          <w:color w:val="000000"/>
          <w:sz w:val="27"/>
          <w:szCs w:val="27"/>
          <w:rtl/>
        </w:rPr>
        <w:t>أ- هناك مبدأ معروف وهو "لا حكم بدون م</w:t>
      </w:r>
      <w:r>
        <w:rPr>
          <w:rFonts w:ascii="Tahoma" w:hAnsi="Tahoma" w:cs="Tahoma"/>
          <w:color w:val="000000"/>
          <w:sz w:val="27"/>
          <w:szCs w:val="27"/>
          <w:rtl/>
        </w:rPr>
        <w:t>حاكمة". ولكن يستثنى منه من يضبط في ذات الخطية مثل الأخطاء العلنية، أو الذي ينطبق عليه قول الكتاب "خطايا بعض الناس واضحة تتقدم إلى القضاء" (1تى5: 24).</w:t>
      </w:r>
    </w:p>
    <w:p w14:paraId="2EE33C2C" w14:textId="77777777" w:rsidR="00000000" w:rsidRDefault="001976FA" w:rsidP="009C587B">
      <w:pPr>
        <w:pStyle w:val="NormalWeb"/>
        <w:bidi/>
        <w:jc w:val="lowKashida"/>
        <w:rPr>
          <w:rtl/>
        </w:rPr>
      </w:pPr>
      <w:r>
        <w:rPr>
          <w:rFonts w:ascii="Tahoma" w:hAnsi="Tahoma" w:cs="Tahoma"/>
          <w:color w:val="000000"/>
          <w:sz w:val="27"/>
          <w:szCs w:val="27"/>
          <w:rtl/>
        </w:rPr>
        <w:t>ب- في غير ذلك يُنذر الخاطئ بخطيئته وباستحقاقه المحاكمة والعقوبة، ويطلب باستدعائه للتحقيق معه.</w:t>
      </w:r>
    </w:p>
    <w:p w14:paraId="5E88411E" w14:textId="77777777" w:rsidR="00000000" w:rsidRDefault="001976FA" w:rsidP="009C587B">
      <w:pPr>
        <w:pStyle w:val="NormalWeb"/>
        <w:bidi/>
        <w:jc w:val="lowKashida"/>
        <w:rPr>
          <w:rtl/>
        </w:rPr>
      </w:pPr>
      <w:r>
        <w:rPr>
          <w:rFonts w:ascii="Tahoma" w:hAnsi="Tahoma" w:cs="Tahoma"/>
          <w:color w:val="000000"/>
          <w:sz w:val="27"/>
          <w:szCs w:val="27"/>
          <w:rtl/>
        </w:rPr>
        <w:t>ج- دائمًا يك</w:t>
      </w:r>
      <w:r>
        <w:rPr>
          <w:rFonts w:ascii="Tahoma" w:hAnsi="Tahoma" w:cs="Tahoma"/>
          <w:color w:val="000000"/>
          <w:sz w:val="27"/>
          <w:szCs w:val="27"/>
          <w:rtl/>
        </w:rPr>
        <w:t>ون التحقيق سرًا وأسباب العقوبة تبقى سرية. لأن المقصود عمومًا من التحقيق ومن العقوبة هو علاج المخطئ وليس التشهير به.</w:t>
      </w:r>
    </w:p>
    <w:p w14:paraId="2C3713A3" w14:textId="77777777" w:rsidR="00000000" w:rsidRDefault="001976FA" w:rsidP="009C587B">
      <w:pPr>
        <w:pStyle w:val="NormalWeb"/>
        <w:bidi/>
        <w:jc w:val="lowKashida"/>
        <w:rPr>
          <w:rtl/>
        </w:rPr>
      </w:pPr>
      <w:r>
        <w:rPr>
          <w:rFonts w:ascii="Tahoma" w:hAnsi="Tahoma" w:cs="Tahoma"/>
          <w:color w:val="000000"/>
          <w:sz w:val="27"/>
          <w:szCs w:val="27"/>
          <w:rtl/>
        </w:rPr>
        <w:t>د- ويمكن حضور شهود إثبات إذا لزم الأمر. أما شهود النفي فلا لزوم لهم. لأن غالبية الذين يتهمون بخطية ما يحاولون الإنكار ويمكن أن يأتوا بشهود ل</w:t>
      </w:r>
      <w:r>
        <w:rPr>
          <w:rFonts w:ascii="Tahoma" w:hAnsi="Tahoma" w:cs="Tahoma"/>
          <w:color w:val="000000"/>
          <w:sz w:val="27"/>
          <w:szCs w:val="27"/>
          <w:rtl/>
        </w:rPr>
        <w:t>نفي التهمة عنهم، كذلك يحرص التحقيق على أن يكون في أضيق الحدود للبُعد عن التشهير. ولنفس السبب لا يكون هناك محامون من الخارج، ويكفي أن يدافع الشخص عن نفسه.</w:t>
      </w:r>
    </w:p>
    <w:p w14:paraId="57F911BB" w14:textId="77777777" w:rsidR="00000000" w:rsidRDefault="001976FA" w:rsidP="009C587B">
      <w:pPr>
        <w:pStyle w:val="NormalWeb"/>
        <w:bidi/>
        <w:jc w:val="lowKashida"/>
        <w:rPr>
          <w:rtl/>
        </w:rPr>
      </w:pPr>
      <w:r>
        <w:rPr>
          <w:rFonts w:ascii="Tahoma" w:hAnsi="Tahoma" w:cs="Tahoma"/>
          <w:color w:val="000000"/>
          <w:sz w:val="27"/>
          <w:szCs w:val="27"/>
          <w:rtl/>
        </w:rPr>
        <w:lastRenderedPageBreak/>
        <w:t xml:space="preserve">ه- إذا كانت تهمة الشخص تمس العقيدة، فيمكن إثباتها من التسجيلات الصوتية، أو ما ينشره المتهم من </w:t>
      </w:r>
      <w:proofErr w:type="spellStart"/>
      <w:r>
        <w:rPr>
          <w:rFonts w:ascii="Tahoma" w:hAnsi="Tahoma" w:cs="Tahoma"/>
          <w:color w:val="000000"/>
          <w:sz w:val="27"/>
          <w:szCs w:val="27"/>
          <w:rtl/>
        </w:rPr>
        <w:t>نبذات</w:t>
      </w:r>
      <w:proofErr w:type="spellEnd"/>
      <w:r>
        <w:rPr>
          <w:rFonts w:ascii="Tahoma" w:hAnsi="Tahoma" w:cs="Tahoma"/>
          <w:color w:val="000000"/>
          <w:sz w:val="27"/>
          <w:szCs w:val="27"/>
          <w:rtl/>
        </w:rPr>
        <w:t xml:space="preserve"> أو</w:t>
      </w:r>
      <w:r>
        <w:rPr>
          <w:rFonts w:ascii="Tahoma" w:hAnsi="Tahoma" w:cs="Tahoma"/>
          <w:color w:val="000000"/>
          <w:sz w:val="27"/>
          <w:szCs w:val="27"/>
          <w:rtl/>
        </w:rPr>
        <w:t xml:space="preserve"> كتب.</w:t>
      </w:r>
    </w:p>
    <w:p w14:paraId="092A11A6" w14:textId="77777777" w:rsidR="00000000" w:rsidRDefault="001976FA" w:rsidP="009C587B">
      <w:pPr>
        <w:pStyle w:val="NormalWeb"/>
        <w:bidi/>
        <w:jc w:val="lowKashida"/>
        <w:rPr>
          <w:rtl/>
        </w:rPr>
      </w:pPr>
      <w:r>
        <w:rPr>
          <w:rFonts w:ascii="Tahoma" w:hAnsi="Tahoma" w:cs="Tahoma"/>
          <w:color w:val="000000"/>
          <w:sz w:val="27"/>
          <w:szCs w:val="27"/>
          <w:rtl/>
        </w:rPr>
        <w:t xml:space="preserve">و- أما عن التهم التي يقدم الشخص بسببها للمحاكمة </w:t>
      </w:r>
      <w:proofErr w:type="spellStart"/>
      <w:r>
        <w:rPr>
          <w:rFonts w:ascii="Tahoma" w:hAnsi="Tahoma" w:cs="Tahoma"/>
          <w:color w:val="000000"/>
          <w:sz w:val="27"/>
          <w:szCs w:val="27"/>
          <w:rtl/>
        </w:rPr>
        <w:t>فهى</w:t>
      </w:r>
      <w:proofErr w:type="spellEnd"/>
      <w:r>
        <w:rPr>
          <w:rFonts w:ascii="Tahoma" w:hAnsi="Tahoma" w:cs="Tahoma"/>
          <w:color w:val="000000"/>
          <w:sz w:val="27"/>
          <w:szCs w:val="27"/>
          <w:rtl/>
        </w:rPr>
        <w:t xml:space="preserve"> التي تمس سلامة الكنيسة، أو عقيدتها أو سمعتها، أو التي تسبب أضرارًا للكنيسة، أو التي تتعلق بإهانات توجه إلى رجالات الكهنوت...</w:t>
      </w:r>
    </w:p>
    <w:p w14:paraId="2DF3B132" w14:textId="77777777" w:rsidR="00000000" w:rsidRDefault="001976FA" w:rsidP="009C587B">
      <w:pPr>
        <w:pStyle w:val="NormalWeb"/>
        <w:bidi/>
        <w:jc w:val="lowKashida"/>
        <w:rPr>
          <w:rtl/>
        </w:rPr>
      </w:pPr>
      <w:r>
        <w:rPr>
          <w:rFonts w:ascii="Tahoma" w:hAnsi="Tahoma" w:cs="Tahoma"/>
          <w:color w:val="000000"/>
          <w:sz w:val="27"/>
          <w:szCs w:val="27"/>
          <w:rtl/>
        </w:rPr>
        <w:t xml:space="preserve">ز- أما العقوبات فتتوقف على نوعية الخطية ودرجتها. فبالنسبة إلى التجديف أو </w:t>
      </w:r>
      <w:r>
        <w:rPr>
          <w:rFonts w:ascii="Tahoma" w:hAnsi="Tahoma" w:cs="Tahoma"/>
          <w:color w:val="000000"/>
          <w:sz w:val="27"/>
          <w:szCs w:val="27"/>
          <w:rtl/>
        </w:rPr>
        <w:t>الهرطقة فعقوبتها الشلح أي التجريد من الرتبة الكهنوتية بالنسبة إلى الكاهن، أو القطع من عضوية الكنيسة بالنسبة إلى العلماني. مع الحرمان من الأسرار الكنسية بالنسبة إلى كل منهما.</w:t>
      </w:r>
    </w:p>
    <w:p w14:paraId="78E1A53A" w14:textId="77777777" w:rsidR="00000000" w:rsidRDefault="001976FA" w:rsidP="009C587B">
      <w:pPr>
        <w:pStyle w:val="NormalWeb"/>
        <w:bidi/>
        <w:jc w:val="lowKashida"/>
        <w:rPr>
          <w:rtl/>
        </w:rPr>
      </w:pPr>
      <w:r>
        <w:rPr>
          <w:rFonts w:ascii="Tahoma" w:hAnsi="Tahoma" w:cs="Tahoma"/>
          <w:color w:val="000000"/>
          <w:sz w:val="27"/>
          <w:szCs w:val="27"/>
          <w:rtl/>
        </w:rPr>
        <w:t>ح- الخطايا الأخرى تتنوع عقوبتها من حالة إلى أخرى. وقد وَضعت القوانين الكنسية عقوبا</w:t>
      </w:r>
      <w:r>
        <w:rPr>
          <w:rFonts w:ascii="Tahoma" w:hAnsi="Tahoma" w:cs="Tahoma"/>
          <w:color w:val="000000"/>
          <w:sz w:val="27"/>
          <w:szCs w:val="27"/>
          <w:rtl/>
        </w:rPr>
        <w:t>ت صعبة جدًا على رجال الكهنوت بالذات لأنها تطلب منهم المثالية وعدم إعثار الشعب. وأرجو أن أنشر مقالًا بالتفصيل عن نوع العقوبات...</w:t>
      </w:r>
    </w:p>
    <w:p w14:paraId="038C88A7" w14:textId="77777777" w:rsidR="00000000" w:rsidRDefault="001976FA" w:rsidP="009C587B">
      <w:pPr>
        <w:pStyle w:val="NormalWeb"/>
        <w:bidi/>
        <w:jc w:val="lowKashida"/>
        <w:rPr>
          <w:rtl/>
        </w:rPr>
      </w:pPr>
      <w:r>
        <w:rPr>
          <w:rFonts w:ascii="Tahoma" w:hAnsi="Tahoma" w:cs="Tahoma"/>
          <w:color w:val="000000"/>
          <w:sz w:val="27"/>
          <w:szCs w:val="27"/>
          <w:rtl/>
        </w:rPr>
        <w:t>ط- على أية الحالات يمكن استئناف بعض الأحكام إلى رئاسة كهنوتية أعلى إذا لزم الأمر: إلى المجمع المقدس العام أو إلى البابا نفسه...</w:t>
      </w:r>
    </w:p>
    <w:p w14:paraId="41631568" w14:textId="77777777" w:rsidR="00000000" w:rsidRDefault="001976FA" w:rsidP="009C587B">
      <w:pPr>
        <w:jc w:val="lowKashida"/>
        <w:rPr>
          <w:rFonts w:eastAsia="Times New Roman"/>
          <w:rtl/>
        </w:rPr>
      </w:pPr>
      <w:r>
        <w:rPr>
          <w:rFonts w:eastAsia="Times New Roman"/>
        </w:rPr>
        <w:pict w14:anchorId="54B85B83">
          <v:rect id="_x0000_i1025" style="width:0;height:1.5pt" o:hralign="center" o:hrstd="t" o:hr="t" fillcolor="#a0a0a0" stroked="f"/>
        </w:pict>
      </w:r>
    </w:p>
    <w:p w14:paraId="11390D1A" w14:textId="77777777" w:rsidR="001976FA" w:rsidRPr="009E13C7" w:rsidRDefault="001976FA" w:rsidP="009C587B">
      <w:pPr>
        <w:pStyle w:val="NormalWeb"/>
        <w:bidi/>
        <w:jc w:val="lowKashida"/>
        <w:rPr>
          <w:sz w:val="20"/>
          <w:szCs w:val="20"/>
        </w:rPr>
      </w:pPr>
      <w:r w:rsidRPr="009E13C7">
        <w:rPr>
          <w:rFonts w:ascii="Tahoma" w:hAnsi="Tahoma" w:cs="Tahoma"/>
          <w:color w:val="000000"/>
          <w:sz w:val="20"/>
          <w:szCs w:val="20"/>
          <w:rtl/>
        </w:rPr>
        <w:t xml:space="preserve">- مقال لقداسة البابا </w:t>
      </w:r>
      <w:proofErr w:type="spellStart"/>
      <w:r w:rsidRPr="009E13C7">
        <w:rPr>
          <w:rFonts w:ascii="Tahoma" w:hAnsi="Tahoma" w:cs="Tahoma"/>
          <w:color w:val="000000"/>
          <w:sz w:val="20"/>
          <w:szCs w:val="20"/>
          <w:rtl/>
        </w:rPr>
        <w:t>شنوده</w:t>
      </w:r>
      <w:proofErr w:type="spellEnd"/>
      <w:r w:rsidRPr="009E13C7">
        <w:rPr>
          <w:rFonts w:ascii="Tahoma" w:hAnsi="Tahoma" w:cs="Tahoma"/>
          <w:color w:val="000000"/>
          <w:sz w:val="20"/>
          <w:szCs w:val="20"/>
          <w:rtl/>
        </w:rPr>
        <w:t xml:space="preserve"> الثالث - بمجلة الكرازة - السنة الرابعة والثلاثون (العدد 29،30) 6-أكتوبر-2006م</w:t>
      </w:r>
    </w:p>
    <w:sectPr w:rsidR="001976FA" w:rsidRPr="009E13C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507F6"/>
    <w:rsid w:val="001976FA"/>
    <w:rsid w:val="007507F6"/>
    <w:rsid w:val="009C587B"/>
    <w:rsid w:val="009E13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10D2D"/>
  <w15:docId w15:val="{FDC5DCB1-D80B-47C7-B726-6EC18DAB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3</cp:revision>
  <dcterms:created xsi:type="dcterms:W3CDTF">2026-01-01T14:15:00Z</dcterms:created>
  <dcterms:modified xsi:type="dcterms:W3CDTF">2026-01-01T14:16:00Z</dcterms:modified>
</cp:coreProperties>
</file>