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AB564" w14:textId="0A3BDE2C" w:rsidR="005731DA" w:rsidRPr="005731DA" w:rsidRDefault="005731DA" w:rsidP="005731DA">
      <w:pPr>
        <w:spacing w:after="0"/>
        <w:jc w:val="center"/>
        <w:rPr>
          <w:rFonts w:ascii="Tajawal" w:hAnsi="Tajawal" w:cs="Tajawal"/>
          <w:b/>
          <w:bCs/>
          <w:sz w:val="48"/>
          <w:szCs w:val="48"/>
          <w:rtl/>
        </w:rPr>
      </w:pPr>
      <w:bookmarkStart w:id="0" w:name="_Toc112754503"/>
      <w:bookmarkStart w:id="1" w:name="_Toc122438053"/>
      <w:r w:rsidRPr="005731DA">
        <w:rPr>
          <w:rFonts w:ascii="Tajawal" w:hAnsi="Tajawal" w:cs="Tajawal"/>
          <w:b/>
          <w:bCs/>
          <w:sz w:val="48"/>
          <w:szCs w:val="48"/>
          <w:rtl/>
        </w:rPr>
        <w:t>القديسون أنواع يجمعها تشابه</w:t>
      </w:r>
      <w:bookmarkEnd w:id="0"/>
      <w:bookmarkEnd w:id="1"/>
      <w:r>
        <w:rPr>
          <w:rStyle w:val="FootnoteReference"/>
          <w:rFonts w:ascii="Tajawal" w:hAnsi="Tajawal" w:cs="Tajawal"/>
          <w:b/>
          <w:bCs/>
          <w:sz w:val="48"/>
          <w:szCs w:val="48"/>
          <w:rtl/>
        </w:rPr>
        <w:footnoteReference w:id="1"/>
      </w:r>
    </w:p>
    <w:p w14:paraId="3D5A61FE" w14:textId="77777777" w:rsidR="005731DA" w:rsidRPr="005731DA" w:rsidRDefault="005731DA" w:rsidP="005731DA">
      <w:pPr>
        <w:spacing w:after="0"/>
        <w:jc w:val="center"/>
        <w:rPr>
          <w:rFonts w:ascii="Tajawal" w:hAnsi="Tajawal" w:cs="Tajawal"/>
          <w:b/>
          <w:bCs/>
          <w:vertAlign w:val="superscript"/>
          <w:rtl/>
        </w:rPr>
      </w:pPr>
    </w:p>
    <w:p w14:paraId="48FDB1EB" w14:textId="172F83C0" w:rsidR="005731DA" w:rsidRDefault="005731DA" w:rsidP="005731DA">
      <w:pPr>
        <w:spacing w:after="0"/>
        <w:rPr>
          <w:rFonts w:ascii="Tajawal" w:hAnsi="Tajawal" w:cs="Tajawal"/>
          <w:rtl/>
          <w:lang w:bidi="ar-EG"/>
        </w:rPr>
      </w:pPr>
      <w:r w:rsidRPr="005731DA">
        <w:rPr>
          <w:rFonts w:ascii="Tajawal" w:hAnsi="Tajawal" w:cs="Tajawal"/>
          <w:rtl/>
          <w:lang w:bidi="ar-EG"/>
        </w:rPr>
        <w:t xml:space="preserve">   قدم لنا الكتاب المقدس، كما قدم لنا تاريخ الكنيسة وسير القديسين، أنواعًا كثيرة من القديسين: </w:t>
      </w:r>
    </w:p>
    <w:p w14:paraId="14DE20DD" w14:textId="77777777" w:rsidR="005731DA" w:rsidRPr="005731DA" w:rsidRDefault="005731DA" w:rsidP="005731DA">
      <w:pPr>
        <w:spacing w:after="0"/>
        <w:rPr>
          <w:rFonts w:ascii="Tajawal" w:hAnsi="Tajawal" w:cs="Tajawal"/>
          <w:rtl/>
          <w:lang w:bidi="ar-EG"/>
        </w:rPr>
      </w:pPr>
    </w:p>
    <w:p w14:paraId="479F5020" w14:textId="77777777" w:rsidR="005731DA" w:rsidRPr="005731DA" w:rsidRDefault="005731DA" w:rsidP="005731DA">
      <w:pPr>
        <w:spacing w:after="0"/>
        <w:rPr>
          <w:rFonts w:ascii="Tajawal" w:hAnsi="Tajawal" w:cs="Tajawal"/>
          <w:b/>
          <w:bCs/>
          <w:rtl/>
          <w:lang w:bidi="ar-EG"/>
        </w:rPr>
      </w:pPr>
      <w:r w:rsidRPr="005731DA">
        <w:rPr>
          <w:rFonts w:ascii="Tajawal" w:hAnsi="Tajawal" w:cs="Tajawal"/>
          <w:b/>
          <w:bCs/>
          <w:rtl/>
          <w:lang w:bidi="ar-EG"/>
        </w:rPr>
        <w:t>فمنهم أبطال الإيمان مثل القديس أثناسيوس الرسولي، ومنهم آباء الرهبنة كالقديس أنطونيوس الكبير. ومنهم رجال الرحمة كالقديس صرابامون أبو طرحة، والأنبا أبرآم أسقف الفيوم... ومنهم نسَّاك بلا صفة، كالقديس الأنبا رويس...</w:t>
      </w:r>
    </w:p>
    <w:p w14:paraId="45D1A79A" w14:textId="289F7609" w:rsidR="005731DA" w:rsidRDefault="005731DA" w:rsidP="005731DA">
      <w:pPr>
        <w:spacing w:after="0"/>
        <w:rPr>
          <w:rFonts w:ascii="Tajawal" w:hAnsi="Tajawal" w:cs="Tajawal"/>
          <w:rtl/>
          <w:lang w:bidi="ar-EG"/>
        </w:rPr>
      </w:pPr>
      <w:r w:rsidRPr="005731DA">
        <w:rPr>
          <w:rFonts w:ascii="Tajawal" w:hAnsi="Tajawal" w:cs="Tajawal"/>
          <w:rtl/>
          <w:lang w:bidi="ar-EG"/>
        </w:rPr>
        <w:t xml:space="preserve">   منهم </w:t>
      </w:r>
      <w:r w:rsidRPr="005731DA">
        <w:rPr>
          <w:rFonts w:ascii="Tajawal" w:hAnsi="Tajawal" w:cs="Tajawal"/>
          <w:b/>
          <w:bCs/>
          <w:rtl/>
          <w:lang w:bidi="ar-EG"/>
        </w:rPr>
        <w:t>أطفال</w:t>
      </w:r>
      <w:r w:rsidRPr="005731DA">
        <w:rPr>
          <w:rFonts w:ascii="Tajawal" w:hAnsi="Tajawal" w:cs="Tajawal"/>
          <w:rtl/>
          <w:lang w:bidi="ar-EG"/>
        </w:rPr>
        <w:t xml:space="preserve"> مثل القديس أبانوب، والقديس قرياقوص ابن يوليطه. ومنهم </w:t>
      </w:r>
      <w:r w:rsidRPr="005731DA">
        <w:rPr>
          <w:rFonts w:ascii="Tajawal" w:hAnsi="Tajawal" w:cs="Tajawal"/>
          <w:b/>
          <w:bCs/>
          <w:rtl/>
          <w:lang w:bidi="ar-EG"/>
        </w:rPr>
        <w:t>شيوخ</w:t>
      </w:r>
      <w:r w:rsidRPr="005731DA">
        <w:rPr>
          <w:rFonts w:ascii="Tajawal" w:hAnsi="Tajawal" w:cs="Tajawal"/>
          <w:rtl/>
          <w:lang w:bidi="ar-EG"/>
        </w:rPr>
        <w:t xml:space="preserve"> مثل القديس يوحنا الحبيب، ومثل تلميذه الشيخ بوليكاربوس. ومنهم </w:t>
      </w:r>
      <w:r w:rsidRPr="005731DA">
        <w:rPr>
          <w:rFonts w:ascii="Tajawal" w:hAnsi="Tajawal" w:cs="Tajawal"/>
          <w:b/>
          <w:bCs/>
          <w:rtl/>
          <w:lang w:bidi="ar-EG"/>
        </w:rPr>
        <w:t>شباب</w:t>
      </w:r>
      <w:r w:rsidRPr="005731DA">
        <w:rPr>
          <w:rFonts w:ascii="Tajawal" w:hAnsi="Tajawal" w:cs="Tajawal"/>
          <w:rtl/>
          <w:lang w:bidi="ar-EG"/>
        </w:rPr>
        <w:t xml:space="preserve"> مثل مار مينا ويوحنا المعمدان.</w:t>
      </w:r>
    </w:p>
    <w:p w14:paraId="087FF025" w14:textId="77777777" w:rsidR="005731DA" w:rsidRPr="005731DA" w:rsidRDefault="005731DA" w:rsidP="005731DA">
      <w:pPr>
        <w:spacing w:after="0"/>
        <w:rPr>
          <w:rFonts w:ascii="Tajawal" w:hAnsi="Tajawal" w:cs="Tajawal"/>
          <w:rtl/>
          <w:lang w:bidi="ar-EG"/>
        </w:rPr>
      </w:pPr>
    </w:p>
    <w:p w14:paraId="17179FD5" w14:textId="77777777" w:rsidR="005731DA" w:rsidRPr="005731DA" w:rsidRDefault="005731DA" w:rsidP="005731DA">
      <w:pPr>
        <w:spacing w:after="0"/>
        <w:rPr>
          <w:rFonts w:ascii="Tajawal" w:hAnsi="Tajawal" w:cs="Tajawal"/>
          <w:b/>
          <w:bCs/>
          <w:rtl/>
          <w:lang w:bidi="ar-EG"/>
        </w:rPr>
      </w:pPr>
      <w:r w:rsidRPr="005731DA">
        <w:rPr>
          <w:rFonts w:ascii="Tajawal" w:hAnsi="Tajawal" w:cs="Tajawal"/>
          <w:b/>
          <w:bCs/>
          <w:rtl/>
          <w:lang w:bidi="ar-EG"/>
        </w:rPr>
        <w:t>منهم الرجال، ومنهم النساء.. منهم رجال الكهنوت، وأيضًا العلمانيون منهم البتوليون، وكذلك المتزوجون، منهم من فارق العالم شهيدًا، ومن فارقه معترفًا، ومن مات ميتة عادية.</w:t>
      </w:r>
    </w:p>
    <w:p w14:paraId="005B5C8A" w14:textId="2F2C69C0" w:rsidR="005731DA" w:rsidRDefault="005731DA" w:rsidP="005731DA">
      <w:pPr>
        <w:spacing w:after="0"/>
        <w:rPr>
          <w:rFonts w:ascii="Tajawal" w:hAnsi="Tajawal" w:cs="Tajawal"/>
          <w:rtl/>
          <w:lang w:bidi="ar-EG"/>
        </w:rPr>
      </w:pPr>
      <w:r w:rsidRPr="005731DA">
        <w:rPr>
          <w:rFonts w:ascii="Tajawal" w:hAnsi="Tajawal" w:cs="Tajawal"/>
          <w:rtl/>
          <w:lang w:bidi="ar-EG"/>
        </w:rPr>
        <w:t xml:space="preserve">   إنهم أنواع لا تُحصَى، يقدمون أمثلة لكل أحد أيًّا كانت صفته.. ولكنهم على الرغم من هذا التنوع، يتشابهون في نقاط رئيسية..</w:t>
      </w:r>
    </w:p>
    <w:p w14:paraId="55E1A7F7" w14:textId="77777777" w:rsidR="005731DA" w:rsidRPr="005731DA" w:rsidRDefault="005731DA" w:rsidP="005731DA">
      <w:pPr>
        <w:spacing w:after="0"/>
        <w:rPr>
          <w:rFonts w:ascii="Tajawal" w:hAnsi="Tajawal" w:cs="Tajawal"/>
          <w:rtl/>
          <w:lang w:bidi="ar-EG"/>
        </w:rPr>
      </w:pPr>
    </w:p>
    <w:p w14:paraId="4BF9C96A" w14:textId="77777777" w:rsidR="005731DA" w:rsidRPr="005731DA" w:rsidRDefault="005731DA" w:rsidP="005731DA">
      <w:pPr>
        <w:spacing w:after="0"/>
        <w:rPr>
          <w:rFonts w:ascii="Tajawal" w:hAnsi="Tajawal" w:cs="Tajawal"/>
          <w:b/>
          <w:bCs/>
          <w:rtl/>
          <w:lang w:bidi="ar-EG"/>
        </w:rPr>
      </w:pPr>
      <w:r w:rsidRPr="005731DA">
        <w:rPr>
          <w:rFonts w:ascii="Tajawal" w:hAnsi="Tajawal" w:cs="Tajawal"/>
          <w:b/>
          <w:bCs/>
          <w:rtl/>
          <w:lang w:bidi="ar-EG"/>
        </w:rPr>
        <w:t xml:space="preserve">يتشابهون في أنهم أحبوا الله من عمق أعماق قلوبهم. </w:t>
      </w:r>
    </w:p>
    <w:p w14:paraId="48B0B296" w14:textId="4CF597EE" w:rsidR="005731DA" w:rsidRDefault="005731DA" w:rsidP="005731DA">
      <w:pPr>
        <w:spacing w:after="0"/>
        <w:rPr>
          <w:rFonts w:ascii="Tajawal" w:hAnsi="Tajawal" w:cs="Tajawal"/>
          <w:rtl/>
          <w:lang w:bidi="ar-EG"/>
        </w:rPr>
      </w:pPr>
      <w:r w:rsidRPr="005731DA">
        <w:rPr>
          <w:rFonts w:ascii="Tajawal" w:hAnsi="Tajawal" w:cs="Tajawal"/>
          <w:rtl/>
          <w:lang w:bidi="ar-EG"/>
        </w:rPr>
        <w:t xml:space="preserve">    من أجل هذا الحب، ترك بعضهم كل ملاذ العالم، وعاش كراهب. أو ترك الحياة كلها ومات شهيدًا. أو ترك الراحة والهدوء، وعاش مجاهدًا من أجل الإيمان أو الكرازة. أو فرَّق ماله على الفقراء..</w:t>
      </w:r>
    </w:p>
    <w:p w14:paraId="04D26034" w14:textId="15C15D18" w:rsidR="005731DA" w:rsidRDefault="005731DA" w:rsidP="005731DA">
      <w:pPr>
        <w:spacing w:after="0"/>
        <w:rPr>
          <w:rFonts w:ascii="Tajawal" w:hAnsi="Tajawal" w:cs="Tajawal"/>
          <w:rtl/>
          <w:lang w:bidi="ar-EG"/>
        </w:rPr>
      </w:pPr>
    </w:p>
    <w:p w14:paraId="361D3005" w14:textId="18C8028A" w:rsidR="005731DA" w:rsidRDefault="005731DA" w:rsidP="005731DA">
      <w:pPr>
        <w:spacing w:after="0"/>
        <w:rPr>
          <w:rFonts w:ascii="Tajawal" w:hAnsi="Tajawal" w:cs="Tajawal"/>
          <w:rtl/>
          <w:lang w:bidi="ar-EG"/>
        </w:rPr>
      </w:pPr>
    </w:p>
    <w:p w14:paraId="4C162FFD" w14:textId="77777777" w:rsidR="005731DA" w:rsidRPr="005731DA" w:rsidRDefault="005731DA" w:rsidP="005731DA">
      <w:pPr>
        <w:spacing w:after="0"/>
        <w:rPr>
          <w:rFonts w:ascii="Tajawal" w:hAnsi="Tajawal" w:cs="Tajawal"/>
          <w:rtl/>
          <w:lang w:bidi="ar-EG"/>
        </w:rPr>
      </w:pPr>
    </w:p>
    <w:p w14:paraId="3DC00CDE" w14:textId="77777777" w:rsidR="005731DA" w:rsidRPr="005731DA" w:rsidRDefault="005731DA" w:rsidP="005731DA">
      <w:pPr>
        <w:spacing w:after="0"/>
        <w:rPr>
          <w:rFonts w:ascii="Tajawal" w:hAnsi="Tajawal" w:cs="Tajawal"/>
          <w:b/>
          <w:bCs/>
          <w:rtl/>
          <w:lang w:bidi="ar-EG"/>
        </w:rPr>
      </w:pPr>
      <w:r w:rsidRPr="005731DA">
        <w:rPr>
          <w:rFonts w:ascii="Tajawal" w:hAnsi="Tajawal" w:cs="Tajawal"/>
          <w:b/>
          <w:bCs/>
          <w:rtl/>
          <w:lang w:bidi="ar-EG"/>
        </w:rPr>
        <w:t>وبمحبتهم لله، عاشوا على الأرض كغرباء يلتمسون وطنًا سمائيًّا..</w:t>
      </w:r>
    </w:p>
    <w:p w14:paraId="0BBA7B77" w14:textId="77777777" w:rsidR="005731DA" w:rsidRPr="005731DA" w:rsidRDefault="005731DA" w:rsidP="005731DA">
      <w:pPr>
        <w:spacing w:after="0"/>
        <w:rPr>
          <w:rFonts w:ascii="Tajawal" w:hAnsi="Tajawal" w:cs="Tajawal"/>
          <w:rtl/>
          <w:lang w:bidi="ar-EG"/>
        </w:rPr>
      </w:pPr>
      <w:r w:rsidRPr="005731DA">
        <w:rPr>
          <w:rFonts w:ascii="Tajawal" w:hAnsi="Tajawal" w:cs="Tajawal"/>
          <w:rtl/>
          <w:lang w:bidi="ar-EG"/>
        </w:rPr>
        <w:t xml:space="preserve">    ليس الرهبان منهم فقط، وإنما خادم كبولس الرسول، يقول وهو يخدم في العالم: "</w:t>
      </w:r>
      <w:r w:rsidRPr="005731DA">
        <w:rPr>
          <w:rFonts w:ascii="Tajawal" w:hAnsi="Tajawal" w:cs="Tajawal"/>
          <w:rtl/>
        </w:rPr>
        <w:t>خَسِرْتُ كُلَّ الأَشْيَاءِ، وَأَنَا أَحْسِبُهَا نُفَايَةً لِكَيْ أَرْبَحَ</w:t>
      </w:r>
      <w:r w:rsidRPr="005731DA">
        <w:rPr>
          <w:rFonts w:ascii="Tajawal" w:hAnsi="Tajawal" w:cs="Tajawal"/>
        </w:rPr>
        <w:t xml:space="preserve"> </w:t>
      </w:r>
      <w:r w:rsidRPr="005731DA">
        <w:rPr>
          <w:rFonts w:ascii="Tajawal" w:hAnsi="Tajawal" w:cs="Tajawal"/>
          <w:rtl/>
        </w:rPr>
        <w:t>الْمَسِيحَ وَأُوجَدَ فِيهِ</w:t>
      </w:r>
      <w:r w:rsidRPr="005731DA">
        <w:rPr>
          <w:rFonts w:ascii="Tajawal" w:hAnsi="Tajawal" w:cs="Tajawal"/>
          <w:rtl/>
          <w:lang w:bidi="ar-EG"/>
        </w:rPr>
        <w:t xml:space="preserve">"(في3: 8، 9). </w:t>
      </w:r>
    </w:p>
    <w:p w14:paraId="0C1F3D67" w14:textId="77777777" w:rsidR="005731DA" w:rsidRPr="005731DA" w:rsidRDefault="005731DA" w:rsidP="005731DA">
      <w:pPr>
        <w:spacing w:after="0"/>
        <w:rPr>
          <w:rFonts w:ascii="Tajawal" w:hAnsi="Tajawal" w:cs="Tajawal"/>
          <w:rtl/>
          <w:lang w:bidi="ar-EG"/>
        </w:rPr>
      </w:pPr>
      <w:r w:rsidRPr="005731DA">
        <w:rPr>
          <w:rFonts w:ascii="Tajawal" w:hAnsi="Tajawal" w:cs="Tajawal"/>
          <w:b/>
          <w:bCs/>
          <w:rtl/>
          <w:lang w:bidi="ar-EG"/>
        </w:rPr>
        <w:t xml:space="preserve">    وملك </w:t>
      </w:r>
      <w:r w:rsidRPr="005731DA">
        <w:rPr>
          <w:rFonts w:ascii="Tajawal" w:hAnsi="Tajawal" w:cs="Tajawal"/>
          <w:rtl/>
          <w:lang w:bidi="ar-EG"/>
        </w:rPr>
        <w:t>مثل داود يقول في مزاميره: "</w:t>
      </w:r>
      <w:r w:rsidRPr="005731DA">
        <w:rPr>
          <w:rFonts w:ascii="Tajawal" w:hAnsi="Tajawal" w:cs="Tajawal"/>
          <w:rtl/>
        </w:rPr>
        <w:t>غَرِيبٌ أَنَا فِي الأَرْضِ، لاَ تُخْفِ عَنِّي وَصَايَاكَ"(مز19:119)</w:t>
      </w:r>
      <w:r w:rsidRPr="005731DA">
        <w:rPr>
          <w:rFonts w:ascii="Tajawal" w:hAnsi="Tajawal" w:cs="Tajawal"/>
          <w:rtl/>
          <w:lang w:bidi="ar-EG"/>
        </w:rPr>
        <w:t>. "</w:t>
      </w:r>
      <w:r w:rsidRPr="005731DA">
        <w:rPr>
          <w:rFonts w:ascii="Tajawal" w:hAnsi="Tajawal" w:cs="Tajawal"/>
          <w:rtl/>
        </w:rPr>
        <w:t>لأَنِّي أَنَا غَرِيبٌ عِنْدَكَ. نَزِيلٌ مِثْلُ جَمِيعِ آبَائِي"(مز12:39).</w:t>
      </w:r>
    </w:p>
    <w:p w14:paraId="704AA44B" w14:textId="77777777" w:rsidR="005731DA" w:rsidRPr="005731DA" w:rsidRDefault="005731DA" w:rsidP="005731DA">
      <w:pPr>
        <w:spacing w:after="0"/>
        <w:rPr>
          <w:rFonts w:ascii="Tajawal" w:hAnsi="Tajawal" w:cs="Tajawal"/>
          <w:b/>
          <w:bCs/>
          <w:rtl/>
          <w:lang w:bidi="ar-EG"/>
        </w:rPr>
      </w:pPr>
    </w:p>
    <w:p w14:paraId="25836299" w14:textId="60B73A76" w:rsidR="005731DA" w:rsidRPr="005731DA" w:rsidRDefault="005731DA" w:rsidP="005731DA">
      <w:pPr>
        <w:spacing w:after="0"/>
        <w:rPr>
          <w:rFonts w:ascii="Tajawal" w:hAnsi="Tajawal" w:cs="Tajawal"/>
          <w:b/>
          <w:bCs/>
          <w:rtl/>
          <w:lang w:bidi="ar-EG"/>
        </w:rPr>
      </w:pPr>
      <w:r w:rsidRPr="005731DA">
        <w:rPr>
          <w:rFonts w:ascii="Tajawal" w:hAnsi="Tajawal" w:cs="Tajawal"/>
          <w:b/>
          <w:bCs/>
          <w:rtl/>
          <w:lang w:bidi="ar-EG"/>
        </w:rPr>
        <w:t>وإذ عاشوا هكذا، تشابهوا كلهم في نقاوة القلب وقداسته، وإنما كانت لكل منهم درجته في القداسة.</w:t>
      </w:r>
    </w:p>
    <w:p w14:paraId="3C6A5AAE" w14:textId="77777777" w:rsidR="005731DA" w:rsidRPr="005731DA" w:rsidRDefault="005731DA" w:rsidP="005731DA">
      <w:pPr>
        <w:spacing w:after="0"/>
        <w:rPr>
          <w:rFonts w:ascii="Tajawal" w:hAnsi="Tajawal" w:cs="Tajawal"/>
          <w:b/>
          <w:bCs/>
          <w:rtl/>
          <w:lang w:bidi="ar-EG"/>
        </w:rPr>
      </w:pPr>
    </w:p>
    <w:p w14:paraId="60997522" w14:textId="77777777" w:rsidR="006234B6" w:rsidRPr="005731DA" w:rsidRDefault="006234B6" w:rsidP="003F09E7">
      <w:pPr>
        <w:spacing w:after="0"/>
        <w:rPr>
          <w:rFonts w:ascii="Tajawal" w:hAnsi="Tajawal" w:cs="Tajawal"/>
          <w:lang w:bidi="ar-EG"/>
        </w:rPr>
      </w:pPr>
    </w:p>
    <w:sectPr w:rsidR="006234B6" w:rsidRPr="005731DA"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35C6E89F" w14:textId="00EEE852" w:rsidR="005731DA" w:rsidRDefault="005731DA" w:rsidP="00EC4F2D">
      <w:pPr>
        <w:pStyle w:val="FootnoteText"/>
        <w:bidi/>
        <w:rPr>
          <w:rFonts w:hint="cs"/>
          <w:rtl/>
          <w:lang w:bidi="ar-EG"/>
        </w:rPr>
      </w:pPr>
      <w:r>
        <w:rPr>
          <w:rStyle w:val="FootnoteReference"/>
        </w:rPr>
        <w:footnoteRef/>
      </w:r>
      <w:r>
        <w:t xml:space="preserve"> </w:t>
      </w:r>
      <w:r w:rsidR="00EC4F2D">
        <w:rPr>
          <w:rFonts w:hint="cs"/>
          <w:rtl/>
        </w:rPr>
        <w:t xml:space="preserve"> </w:t>
      </w:r>
      <w:r w:rsidR="00EC4F2D" w:rsidRPr="00EC4F2D">
        <w:rPr>
          <w:rFonts w:hint="cs"/>
          <w:rtl/>
        </w:rPr>
        <w:t xml:space="preserve">مقال لقداسة البابا شنوده الثالث </w:t>
      </w:r>
      <w:r w:rsidR="00EC4F2D" w:rsidRPr="00EC4F2D">
        <w:rPr>
          <w:rtl/>
        </w:rPr>
        <w:t>–</w:t>
      </w:r>
      <w:r w:rsidR="00EC4F2D" w:rsidRPr="00EC4F2D">
        <w:rPr>
          <w:rFonts w:hint="cs"/>
          <w:rtl/>
        </w:rPr>
        <w:t xml:space="preserve"> بمجلة الكرازة </w:t>
      </w:r>
      <w:r w:rsidR="00EC4F2D" w:rsidRPr="00EC4F2D">
        <w:rPr>
          <w:rtl/>
        </w:rPr>
        <w:t>–</w:t>
      </w:r>
      <w:r w:rsidR="00EC4F2D" w:rsidRPr="00EC4F2D">
        <w:rPr>
          <w:rFonts w:hint="cs"/>
          <w:rtl/>
        </w:rPr>
        <w:t xml:space="preserve"> السنة </w:t>
      </w:r>
      <w:r w:rsidR="00EC4F2D">
        <w:rPr>
          <w:rFonts w:hint="cs"/>
          <w:rtl/>
        </w:rPr>
        <w:t>السابعة</w:t>
      </w:r>
      <w:r w:rsidR="00EC4F2D" w:rsidRPr="00EC4F2D">
        <w:rPr>
          <w:rFonts w:hint="cs"/>
          <w:rtl/>
        </w:rPr>
        <w:t xml:space="preserve"> عشرة </w:t>
      </w:r>
      <w:r w:rsidR="00EC4F2D" w:rsidRPr="00EC4F2D">
        <w:rPr>
          <w:rtl/>
        </w:rPr>
        <w:t>–</w:t>
      </w:r>
      <w:r w:rsidR="00EC4F2D" w:rsidRPr="00EC4F2D">
        <w:rPr>
          <w:rFonts w:hint="cs"/>
          <w:rtl/>
        </w:rPr>
        <w:t xml:space="preserve"> العدد</w:t>
      </w:r>
      <w:r w:rsidR="00EC4F2D">
        <w:rPr>
          <w:rFonts w:hint="cs"/>
          <w:rtl/>
        </w:rPr>
        <w:t xml:space="preserve"> السادس عشر 21-4-1989م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5731DA"/>
    <w:rsid w:val="006234B6"/>
    <w:rsid w:val="006252F8"/>
    <w:rsid w:val="006D2588"/>
    <w:rsid w:val="00746A50"/>
    <w:rsid w:val="00987980"/>
    <w:rsid w:val="009A1D90"/>
    <w:rsid w:val="00AD2D0A"/>
    <w:rsid w:val="00B22F9E"/>
    <w:rsid w:val="00C1564B"/>
    <w:rsid w:val="00EC4F2D"/>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5731DA"/>
    <w:pPr>
      <w:bidi w:val="0"/>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31DA"/>
    <w:rPr>
      <w:sz w:val="20"/>
      <w:szCs w:val="20"/>
    </w:rPr>
  </w:style>
  <w:style w:type="character" w:styleId="FootnoteReference">
    <w:name w:val="footnote reference"/>
    <w:basedOn w:val="DefaultParagraphFont"/>
    <w:uiPriority w:val="99"/>
    <w:semiHidden/>
    <w:unhideWhenUsed/>
    <w:rsid w:val="005731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5DC6D-6341-4823-B397-148DF5B5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12</cp:revision>
  <dcterms:created xsi:type="dcterms:W3CDTF">2024-09-26T11:03:00Z</dcterms:created>
  <dcterms:modified xsi:type="dcterms:W3CDTF">2024-10-30T11:28:00Z</dcterms:modified>
</cp:coreProperties>
</file>