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0F7F" w14:textId="1F42EA7D" w:rsidR="00D738F8" w:rsidRPr="006A6957" w:rsidRDefault="00D738F8" w:rsidP="00D738F8">
      <w:pPr>
        <w:jc w:val="center"/>
        <w:rPr>
          <w:rFonts w:ascii="Tajawal" w:hAnsi="Tajawal" w:cs="Tajawal"/>
          <w:b/>
          <w:bCs/>
          <w:sz w:val="48"/>
          <w:szCs w:val="48"/>
          <w:rtl/>
          <w:lang w:bidi="ar-EG"/>
        </w:rPr>
      </w:pPr>
      <w:bookmarkStart w:id="0" w:name="_Toc59275759"/>
      <w:r w:rsidRPr="006A6957">
        <w:rPr>
          <w:rFonts w:ascii="Tajawal" w:hAnsi="Tajawal" w:cs="Tajawal"/>
          <w:b/>
          <w:bCs/>
          <w:sz w:val="48"/>
          <w:szCs w:val="48"/>
          <w:rtl/>
          <w:lang w:bidi="ar-EG"/>
        </w:rPr>
        <w:t xml:space="preserve">متى نشأ </w:t>
      </w:r>
      <w:r w:rsidRPr="006A6957">
        <w:rPr>
          <w:rFonts w:ascii="Tajawal" w:hAnsi="Tajawal" w:cs="Tajawal"/>
          <w:b/>
          <w:bCs/>
          <w:sz w:val="48"/>
          <w:szCs w:val="48"/>
          <w:rtl/>
          <w:lang w:bidi="ar-EG"/>
        </w:rPr>
        <w:t>الضمير؟</w:t>
      </w:r>
      <w:bookmarkEnd w:id="0"/>
      <w:r w:rsidR="006A6957" w:rsidRPr="006A6957">
        <w:rPr>
          <w:rStyle w:val="FootnoteReference"/>
          <w:rFonts w:ascii="Tajawal" w:hAnsi="Tajawal" w:cs="Tajawal"/>
          <w:b/>
          <w:bCs/>
          <w:sz w:val="40"/>
          <w:szCs w:val="40"/>
          <w:rtl/>
          <w:lang w:bidi="ar-EG"/>
        </w:rPr>
        <w:footnoteReference w:id="1"/>
      </w:r>
    </w:p>
    <w:p w14:paraId="554127B8" w14:textId="77777777" w:rsidR="00D738F8" w:rsidRPr="006A6957" w:rsidRDefault="00D738F8" w:rsidP="00D738F8">
      <w:pPr>
        <w:rPr>
          <w:rFonts w:ascii="Tajawal" w:hAnsi="Tajawal" w:cs="Tajawal"/>
          <w:b/>
          <w:bCs/>
          <w:rtl/>
          <w:lang w:bidi="ar-EG"/>
        </w:rPr>
      </w:pPr>
      <w:bookmarkStart w:id="1" w:name="_Toc59275760"/>
      <w:r w:rsidRPr="006A6957">
        <w:rPr>
          <w:rFonts w:ascii="Tajawal" w:hAnsi="Tajawal" w:cs="Tajawal"/>
          <w:b/>
          <w:bCs/>
          <w:rtl/>
          <w:lang w:bidi="ar-EG"/>
        </w:rPr>
        <w:t>سؤال</w:t>
      </w:r>
      <w:bookmarkEnd w:id="1"/>
      <w:r w:rsidRPr="006A6957">
        <w:rPr>
          <w:rFonts w:ascii="Tajawal" w:hAnsi="Tajawal" w:cs="Tajawal"/>
          <w:b/>
          <w:bCs/>
          <w:rtl/>
          <w:lang w:bidi="ar-EG"/>
        </w:rPr>
        <w:t xml:space="preserve"> </w:t>
      </w:r>
    </w:p>
    <w:p w14:paraId="3F9D9A9B" w14:textId="5419C3F0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قرأت رأياً لماكنتوش يقول إنه لم يكن للإنسان ضمير قبل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السقوط،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إذ لم يكن له علم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بالشر،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لأن الشر إنما عرف بعد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السقوط.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وأدم لما خلقه الله كان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في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حالة من الطهارة لا يعرف فيها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الشر.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إذن الضمير وّجد بالسقوط ومنذ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السقوط،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وصار للإنسان ضمير يميز بين الخير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والشر.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وكانت باكورة أثمار الضمير أن آدم أختبأ وراء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الأشجار من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الخوف.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1C410134" w14:textId="4900382D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فهل صحيح أن الإنسان كان بغير ضمير قبل </w:t>
      </w:r>
      <w:r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السقوط؟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</w:p>
    <w:p w14:paraId="04D7FA04" w14:textId="77777777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الجواب </w:t>
      </w:r>
    </w:p>
    <w:p w14:paraId="6C9F21EC" w14:textId="65925295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أولاً: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ماكنتوش هو من زعماء الأخوة </w:t>
      </w:r>
      <w:r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البلاميس.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</w:p>
    <w:p w14:paraId="2FE55CF6" w14:textId="2990C14F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6A6957">
        <w:rPr>
          <w:rFonts w:ascii="Tajawal" w:eastAsia="Calibri" w:hAnsi="Tajawal" w:cs="Tajawal"/>
          <w:color w:val="000000"/>
          <w:rtl/>
          <w:lang w:bidi="ar-EG"/>
        </w:rPr>
        <w:t>ولذا،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فإن كلامه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ينبغي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أن يؤخذ بحذر. وكون أن الإنسان لم يعرف الشر إلا بعد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السقوط،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هذا لا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اعتراض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لنا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عليه.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ولكن الضمير له فوائد كثيرة لا تقتصر على معرفة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الشر.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وسنناقش معاً ما ذكره </w:t>
      </w:r>
      <w:r w:rsidRPr="006A6957">
        <w:rPr>
          <w:rFonts w:ascii="Tajawal" w:eastAsia="Calibri" w:hAnsi="Tajawal" w:cs="Tajawal"/>
          <w:color w:val="000000"/>
          <w:rtl/>
          <w:lang w:bidi="ar-EG"/>
        </w:rPr>
        <w:t>ماكنتوش.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0D2C1785" w14:textId="4E070231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>1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>-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الشر ليس له وجود </w:t>
      </w:r>
      <w:r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ذاتي،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بقدر ما هو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انعدام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الخير المقابل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له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: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6F8F0E19" w14:textId="6780AA7F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فالكذب هو عدم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الصدق.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والزنا هو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انعدام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العفة.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والقسوة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انعدام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الرحمة والشفقة. والكراهية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هي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عدم الحب. فالشر كله سلبيات. والإنسان الأول لم يكن دراية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بهذه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السلبيات. </w:t>
      </w:r>
    </w:p>
    <w:p w14:paraId="5E1CCB8B" w14:textId="7EF3FE09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>2-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لكن الإنسان كان على الأقل يعرف أن كلام الحية عكس كلام الله. </w:t>
      </w:r>
    </w:p>
    <w:p w14:paraId="11B97415" w14:textId="75019C15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فالله يمنع الأكل من الشجرة قائلاً " وأما شجرة معرفة الخير والشر فلا تأكل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منها.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. "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(تك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2: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17).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بينما الحية تغرى بالأكل من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الشجرة.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الله يقول 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lastRenderedPageBreak/>
        <w:t xml:space="preserve">" يوم تأكل منها موتاً تموت "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(تك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2: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17).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والحية تقول " لن تموتا "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(تك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3: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4).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12A70247" w14:textId="3EB5B6D6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إذن واضح أن هناك تناقضاً بين كلام الحية وكلام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الله.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وأن ما تدعو إليه الحية هو ضد كلام الله ومخالفة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له.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2C0F1D8F" w14:textId="3B6AD8A3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أياً كان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اسم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هذه المخالفة مما لم يكن يعرفه آدم وحواء، ولكنه على أية الحالات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مخالفة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صحيح أن آدم وحواء ما كانا يعرفان كل تفاصيل الشر الذ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في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الدنيا،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ولكنهما على الأقل كانا يعرفان أن الله نهى عن الأكل من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الشجرة،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بل إن حواء رددت الوصية بتفصيل أكثر فقالت " قال الله لا تأكلا منه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(ولا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تمسا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ه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) لئلاً تموتا. إذن كانت تعرف أن الأكل من تلك الشجرة عصيان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لله.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5AEDC087" w14:textId="7B34A0CB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>3-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وهنا أحب أن أبدى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ملاحظتين: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6DFFE31E" w14:textId="0406274A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>أ-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لو كان الإنسان لا يميز إطلاقاً بين أمر الله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وغواية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الحية.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ما كان قد عاقبه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الله.</w:t>
      </w:r>
    </w:p>
    <w:p w14:paraId="0CB8DB34" w14:textId="07E376D5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فعقوبة الله لآدم وحواء تدل على أنهما كانا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يعرفان.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وواضح هذا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في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قول الرب لآدم "لأنك أكلت من الشجرة الت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أوصيتك قائلاً لا تأكل منها ... " (تك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3: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17).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إذن هو يعاقبه هنا لأنه عصى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أمره.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إذن آدم كان يعرف أنه لم يطع الله وأنه تعرض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كعقوبته.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2ABE238C" w14:textId="6B61EEEA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>ب-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لو كان الإنسان الأول لا يميز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إطلاقاً،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لقلنا إنه لم يكن له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عقل.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</w:p>
    <w:p w14:paraId="5B667A8A" w14:textId="69DB5BA7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وهذا غير مقبول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إطلاقاً،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لأنه كان على صورة الله ومنها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العقل.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والعقل أحد عناصر الضمير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الذي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به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يميز.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ولو كان بدون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عقل،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ما كان أيضاً قد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عوقب.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وفاقد التمييز لا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يعاقب.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وواضح عقل آدم وتمييزه من قوله بعد خلق حواء " هذه الآن عظم من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عظامي،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ولحم من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لحمى.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هذه تدعى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امرأة،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لأنها من إم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رءٍ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أخذت "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(تك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2: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23).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0577E152" w14:textId="105D486C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lastRenderedPageBreak/>
        <w:t xml:space="preserve">بالعقل إذن كان الإنسان يميز أن الأكل من الشجرة هو عدم طاعة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الله.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</w:p>
    <w:p w14:paraId="630BAA74" w14:textId="6B54B914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ومادام له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عقل،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إذن له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فهم،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إذن له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تمييز.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51970FA9" w14:textId="4139AB55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وهو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في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كلامه مع الله، لم يقل: ما كنت أعرف، لأنه كان يعرف. </w:t>
      </w:r>
    </w:p>
    <w:p w14:paraId="2B40B956" w14:textId="3D997672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وعندما اختبأ، لم يكن ذلك لأن ضميره قد وُلد وقت ذلك، فأدرك أنه قد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أخطأ!!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كلا،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وإنما قال "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لأني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عريان فاختبأت "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(تك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3: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10)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وكيف عرف أنه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عريان؟!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6D12E424" w14:textId="0DDA0877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بأكله من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الشجرة،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هبط من المستوى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الروحي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إلى المستوى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المادي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والجسدي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، فعرف أنه عريان. </w:t>
      </w:r>
    </w:p>
    <w:p w14:paraId="08C7395C" w14:textId="4FDFF1D0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وبأكله من الشجرة وعصيانه لله فقد الصورة الإلهية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التي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خلق على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شبهها،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فعرف أنه عريان. أو فلنقل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إن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الطبيعة البشرية، إذ دخلتها الخطية، بدأت تفسد، وهكذا فقد بساطته الأولى، فعرف أنه عريان. </w:t>
      </w:r>
    </w:p>
    <w:p w14:paraId="5DF030B2" w14:textId="4DD4DE25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إذن فمعرفته أنه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عريان،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ليست دليلاً على مولد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الضمير،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إنما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هي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دليل على بدء فساد الطبيعة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البشرية.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</w:p>
    <w:p w14:paraId="6289184B" w14:textId="1DE8F5A9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والدليل على هذا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الفساد،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أنه من الناحية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النفسية،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بدأ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يخاف،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ومن الناحية الجسدية بدأ يعرف أنه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عريان.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كذلك فإنه من الناحية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الروحية،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بدأ يهرب من الله ...</w:t>
      </w:r>
    </w:p>
    <w:p w14:paraId="4075EA36" w14:textId="5E4D1592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>أما عن الضمير الذ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يميز،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فمن قبل الخطيئة كان يستطيع أن يميز أن الأكل من الشجرة هو ضد وصية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الله.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ولابد أنه كان يعرف أن سماعه لصوت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امرأته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في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ذلك هو أيضاً ضد الوصية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الإلهية،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لذلك بدأ الله عقوبته له بعبارة " لأنك سمعت لقول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امرأتك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وأكلت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... "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(تك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3: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17).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06A6E1DA" w14:textId="5FCF5172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كان إذن له ضمير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يميز.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ولكن دائرة ذلك الضمير كانت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ضيقة،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لقلة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المعرفة.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</w:p>
    <w:p w14:paraId="4B331F91" w14:textId="1305AE96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lastRenderedPageBreak/>
        <w:t xml:space="preserve">الإنسان حالياً يعرف شروراً لا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تحصى.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أما آدم فما كان يعرف شيئاً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منها.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وأيضاً الآن يعرف الإنسان شروراً عن طريق العمل والممارسة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والخبرة،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وآدم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لم تكن له هذه المعرفة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إطلاقاً،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لأنه كان نقياً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وبسيطاً.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كل ما كان يعرفه هو وصية الله بعدم الأكل من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الشجرة.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034EE06F" w14:textId="1A50A1FF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الضمير البشرى حالياً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اتسعت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دائرته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جداً،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بازدياد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معرفته.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</w:p>
    <w:p w14:paraId="0404C53D" w14:textId="565C6770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>وأصبح يمارس خصائص ف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التمييز على نطاق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كبير.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وكذلك خصائص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في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التوبيخ والعقاب. ولا شك أن تأنيب الضمير لم يكن موجوداً عند آدم قبل السقوط، لأنه لم تكن له خطيئة يبكته عليها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ضميره.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كذلك الضمير يحث على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الخير.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والإنسان الأول كان يفعل الخير تلقائياً بسبب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قداسته.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فلما سقط بدأ الضمير يمارس مهمته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في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الحث على الخير. </w:t>
      </w:r>
    </w:p>
    <w:p w14:paraId="460F7081" w14:textId="1114FD43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كان للإنسان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ضمير،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وخواص كامنة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فيه،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استخدمت حينما دعت الحاجة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إليها.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</w:p>
    <w:p w14:paraId="595BF04D" w14:textId="2CB48E0B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ومثال ذلك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الطفل،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يولد بطبيعة بشرية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كاملة.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ولكنها تنمو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في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المعرفة،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وتتسع فيها بالوقت دائرة العقل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والضمير.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ولها خواص لا يستخدمها الطفل إلا حينما </w:t>
      </w:r>
      <w:r w:rsidR="00A93B0C" w:rsidRPr="006A6957">
        <w:rPr>
          <w:rFonts w:ascii="Tajawal" w:eastAsia="Calibri" w:hAnsi="Tajawal" w:cs="Tajawal"/>
          <w:color w:val="000000"/>
          <w:rtl/>
          <w:lang w:bidi="ar-EG"/>
        </w:rPr>
        <w:t>يكبر،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أو تدعو الحاجة إليها ....</w:t>
      </w:r>
    </w:p>
    <w:p w14:paraId="371E96A9" w14:textId="73CEA999" w:rsidR="00D738F8" w:rsidRPr="00D738F8" w:rsidRDefault="00D738F8" w:rsidP="00D738F8">
      <w:pPr>
        <w:jc w:val="left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إن وجود الضمير </w:t>
      </w:r>
      <w:r w:rsidR="00A93B0C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شيء،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واستخدامه على نطاق واسع </w:t>
      </w:r>
      <w:r w:rsidR="006A6957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شيء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آخر.</w:t>
      </w:r>
    </w:p>
    <w:p w14:paraId="2B869F52" w14:textId="6D4076CE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وكلما تزداد أنواع الخطية </w:t>
      </w:r>
      <w:r w:rsidR="006A6957" w:rsidRPr="006A6957">
        <w:rPr>
          <w:rFonts w:ascii="Tajawal" w:eastAsia="Calibri" w:hAnsi="Tajawal" w:cs="Tajawal"/>
          <w:color w:val="000000"/>
          <w:rtl/>
          <w:lang w:bidi="ar-EG"/>
        </w:rPr>
        <w:t>في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العالم، تتسع تبعاً لذلك الدائرة </w:t>
      </w:r>
      <w:r w:rsidR="006A6957" w:rsidRPr="006A6957">
        <w:rPr>
          <w:rFonts w:ascii="Tajawal" w:eastAsia="Calibri" w:hAnsi="Tajawal" w:cs="Tajawal"/>
          <w:color w:val="000000"/>
          <w:rtl/>
          <w:lang w:bidi="ar-EG"/>
        </w:rPr>
        <w:t>التي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يعمل فيها الضمير، وكذلك كلما تزداد المعرفة بألوان جديدة من الخير. واستخدام الضمير عند البالغ، أوسع من استخدامه عند الطفل. ولكن الضمير هو الضمير. أما كونه يقوى </w:t>
      </w:r>
      <w:r w:rsidR="006A6957" w:rsidRPr="006A6957">
        <w:rPr>
          <w:rFonts w:ascii="Tajawal" w:eastAsia="Calibri" w:hAnsi="Tajawal" w:cs="Tajawal"/>
          <w:color w:val="000000"/>
          <w:rtl/>
          <w:lang w:bidi="ar-EG"/>
        </w:rPr>
        <w:t>في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عمله أو يضعف، يضيق عمله أو يتسع، فهذا </w:t>
      </w:r>
      <w:r w:rsidR="006A6957" w:rsidRPr="006A6957">
        <w:rPr>
          <w:rFonts w:ascii="Tajawal" w:eastAsia="Calibri" w:hAnsi="Tajawal" w:cs="Tajawal"/>
          <w:color w:val="000000"/>
          <w:rtl/>
          <w:lang w:bidi="ar-EG"/>
        </w:rPr>
        <w:t>شيء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  <w:r w:rsidR="006A6957" w:rsidRPr="006A6957">
        <w:rPr>
          <w:rFonts w:ascii="Tajawal" w:eastAsia="Calibri" w:hAnsi="Tajawal" w:cs="Tajawal"/>
          <w:color w:val="000000"/>
          <w:rtl/>
          <w:lang w:bidi="ar-EG"/>
        </w:rPr>
        <w:t>آخر.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ومهما ضاق عمله، فهذا لا يمنع </w:t>
      </w:r>
      <w:r w:rsidR="006A6957" w:rsidRPr="006A6957">
        <w:rPr>
          <w:rFonts w:ascii="Tajawal" w:eastAsia="Calibri" w:hAnsi="Tajawal" w:cs="Tajawal"/>
          <w:color w:val="000000"/>
          <w:rtl/>
          <w:lang w:bidi="ar-EG"/>
        </w:rPr>
        <w:t>وجوده.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وكذلك كثير من طاقات </w:t>
      </w:r>
      <w:r w:rsidR="006A6957" w:rsidRPr="006A6957">
        <w:rPr>
          <w:rFonts w:ascii="Tajawal" w:eastAsia="Calibri" w:hAnsi="Tajawal" w:cs="Tajawal"/>
          <w:color w:val="000000"/>
          <w:rtl/>
          <w:lang w:bidi="ar-EG"/>
        </w:rPr>
        <w:t>الإنسان.</w:t>
      </w: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 </w:t>
      </w:r>
    </w:p>
    <w:p w14:paraId="669AE308" w14:textId="749B5D7F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وفى ذلك </w:t>
      </w:r>
      <w:r w:rsidR="006A6957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كله،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لا نستطيع إن نقول إن الإنسان قد خُلق بغير </w:t>
      </w:r>
      <w:r w:rsidR="006A6957" w:rsidRPr="006A6957">
        <w:rPr>
          <w:rFonts w:ascii="Tajawal" w:eastAsia="Calibri" w:hAnsi="Tajawal" w:cs="Tajawal"/>
          <w:b/>
          <w:bCs/>
          <w:color w:val="000000"/>
          <w:rtl/>
          <w:lang w:bidi="ar-EG"/>
        </w:rPr>
        <w:t>ضمير.</w:t>
      </w:r>
      <w:r w:rsidRPr="00D738F8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 </w:t>
      </w:r>
    </w:p>
    <w:p w14:paraId="5F04865E" w14:textId="77777777" w:rsidR="00D738F8" w:rsidRPr="00D738F8" w:rsidRDefault="00D738F8" w:rsidP="00D738F8">
      <w:pPr>
        <w:jc w:val="left"/>
        <w:rPr>
          <w:rFonts w:ascii="Tajawal" w:eastAsia="Calibri" w:hAnsi="Tajawal" w:cs="Tajawal"/>
          <w:color w:val="000000"/>
          <w:rtl/>
          <w:lang w:bidi="ar-EG"/>
        </w:rPr>
      </w:pPr>
      <w:r w:rsidRPr="00D738F8">
        <w:rPr>
          <w:rFonts w:ascii="Tajawal" w:eastAsia="Calibri" w:hAnsi="Tajawal" w:cs="Tajawal"/>
          <w:color w:val="000000"/>
          <w:rtl/>
          <w:lang w:bidi="ar-EG"/>
        </w:rPr>
        <w:t xml:space="preserve">التعبير نفسه ثقيل على السمع </w:t>
      </w:r>
    </w:p>
    <w:sectPr w:rsidR="00D738F8" w:rsidRPr="00D738F8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652A8E2F" w14:textId="70D596F7" w:rsidR="006A6957" w:rsidRDefault="006A6957" w:rsidP="006277CC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6277CC" w:rsidRPr="006277CC">
        <w:rPr>
          <w:rFonts w:hint="cs"/>
          <w:rtl/>
        </w:rPr>
        <w:t xml:space="preserve">مقال لقداسة البابا شنوده الثالث </w:t>
      </w:r>
      <w:r w:rsidR="006277CC" w:rsidRPr="006277CC">
        <w:rPr>
          <w:rtl/>
        </w:rPr>
        <w:t>–</w:t>
      </w:r>
      <w:r w:rsidR="006277CC" w:rsidRPr="006277CC">
        <w:rPr>
          <w:rFonts w:hint="cs"/>
          <w:rtl/>
        </w:rPr>
        <w:t xml:space="preserve"> بمجلة الكرازة - السنة </w:t>
      </w:r>
      <w:r w:rsidR="006277CC">
        <w:rPr>
          <w:rFonts w:hint="cs"/>
          <w:rtl/>
        </w:rPr>
        <w:t>الحادية والعشرون</w:t>
      </w:r>
      <w:r w:rsidR="006277CC" w:rsidRPr="006277CC">
        <w:rPr>
          <w:rFonts w:hint="cs"/>
          <w:rtl/>
        </w:rPr>
        <w:t xml:space="preserve"> </w:t>
      </w:r>
      <w:r w:rsidR="006277CC" w:rsidRPr="006277CC">
        <w:rPr>
          <w:rtl/>
        </w:rPr>
        <w:t>–</w:t>
      </w:r>
      <w:r w:rsidR="006277CC" w:rsidRPr="006277CC">
        <w:rPr>
          <w:rFonts w:hint="cs"/>
          <w:rtl/>
        </w:rPr>
        <w:t xml:space="preserve"> العددان </w:t>
      </w:r>
      <w:r w:rsidR="006277CC">
        <w:rPr>
          <w:rFonts w:hint="cs"/>
          <w:rtl/>
        </w:rPr>
        <w:t>45</w:t>
      </w:r>
      <w:r w:rsidR="006277CC" w:rsidRPr="006277CC">
        <w:rPr>
          <w:rFonts w:hint="cs"/>
          <w:rtl/>
        </w:rPr>
        <w:t xml:space="preserve">، </w:t>
      </w:r>
      <w:r w:rsidR="006277CC">
        <w:rPr>
          <w:rFonts w:hint="cs"/>
          <w:rtl/>
        </w:rPr>
        <w:t>46 (26-11-1993م)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45803"/>
    <w:rsid w:val="00165C47"/>
    <w:rsid w:val="002175C6"/>
    <w:rsid w:val="002F474E"/>
    <w:rsid w:val="003779A8"/>
    <w:rsid w:val="003F09E7"/>
    <w:rsid w:val="006234B6"/>
    <w:rsid w:val="006252F8"/>
    <w:rsid w:val="006277CC"/>
    <w:rsid w:val="006A6957"/>
    <w:rsid w:val="006D2588"/>
    <w:rsid w:val="00746A50"/>
    <w:rsid w:val="00987980"/>
    <w:rsid w:val="009A1D90"/>
    <w:rsid w:val="00A93B0C"/>
    <w:rsid w:val="00AD2D0A"/>
    <w:rsid w:val="00B22F9E"/>
    <w:rsid w:val="00BA5812"/>
    <w:rsid w:val="00C1564B"/>
    <w:rsid w:val="00D738F8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D738F8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D738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738F8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738F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738F8"/>
    <w:rPr>
      <w:rFonts w:ascii="Simplified Arabic" w:hAnsi="Simplified Arabic" w:cs="Simplified Arabic"/>
      <w:sz w:val="20"/>
      <w:szCs w:val="20"/>
    </w:rPr>
  </w:style>
  <w:style w:type="paragraph" w:styleId="ListParagraph">
    <w:name w:val="List Paragraph"/>
    <w:basedOn w:val="Normal"/>
    <w:uiPriority w:val="34"/>
    <w:qFormat/>
    <w:rsid w:val="00A93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00998-EA32-42C5-B805-080B8A15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13</cp:revision>
  <dcterms:created xsi:type="dcterms:W3CDTF">2024-09-26T11:03:00Z</dcterms:created>
  <dcterms:modified xsi:type="dcterms:W3CDTF">2024-10-28T11:06:00Z</dcterms:modified>
</cp:coreProperties>
</file>