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B66B" w14:textId="09E73CBC" w:rsidR="007405BB" w:rsidRPr="00572508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noProof/>
          <w:color w:val="000000"/>
          <w:rtl/>
          <w:lang w:bidi="ar-EG"/>
        </w:rPr>
      </w:pPr>
      <w:bookmarkStart w:id="0" w:name="_Toc78792014"/>
      <w:r w:rsidRPr="00572508">
        <w:rPr>
          <w:rFonts w:ascii="Tajawal" w:eastAsia="Calibri" w:hAnsi="Tajawal" w:cs="Tajawal"/>
          <w:b/>
          <w:bCs/>
          <w:noProof/>
          <w:color w:val="000000"/>
          <w:rtl/>
          <w:lang w:bidi="ar-EG"/>
        </w:rPr>
        <w:t>سؤال وجواب</w:t>
      </w:r>
    </w:p>
    <w:p w14:paraId="0711A6AE" w14:textId="3DA4D58F" w:rsidR="007405BB" w:rsidRPr="00572508" w:rsidRDefault="007405BB" w:rsidP="007405BB">
      <w:pPr>
        <w:widowControl w:val="0"/>
        <w:spacing w:before="20" w:after="20" w:line="240" w:lineRule="auto"/>
        <w:ind w:hanging="6"/>
        <w:jc w:val="center"/>
        <w:rPr>
          <w:rFonts w:ascii="Tajawal" w:eastAsia="Calibri" w:hAnsi="Tajawal" w:cs="Tajawal"/>
          <w:b/>
          <w:bCs/>
          <w:noProof/>
          <w:color w:val="000000"/>
          <w:sz w:val="48"/>
          <w:szCs w:val="48"/>
          <w:rtl/>
          <w:lang w:bidi="ar-EG"/>
        </w:rPr>
      </w:pPr>
      <w:r w:rsidRPr="00572508">
        <w:rPr>
          <w:rFonts w:ascii="Tajawal" w:eastAsia="Calibri" w:hAnsi="Tajawal" w:cs="Tajawal"/>
          <w:b/>
          <w:bCs/>
          <w:noProof/>
          <w:color w:val="000000"/>
          <w:sz w:val="48"/>
          <w:szCs w:val="48"/>
          <w:rtl/>
          <w:lang w:bidi="ar-EG"/>
        </w:rPr>
        <w:t>العذراء .... سور</w:t>
      </w:r>
      <w:r w:rsidR="00572508" w:rsidRPr="00572508">
        <w:rPr>
          <w:rStyle w:val="FootnoteReference"/>
          <w:rFonts w:ascii="Tajawal" w:eastAsia="Calibri" w:hAnsi="Tajawal" w:cs="Tajawal"/>
          <w:b/>
          <w:bCs/>
          <w:noProof/>
          <w:color w:val="000000"/>
          <w:sz w:val="40"/>
          <w:szCs w:val="40"/>
          <w:rtl/>
          <w:lang w:bidi="ar-EG"/>
        </w:rPr>
        <w:footnoteReference w:id="1"/>
      </w:r>
    </w:p>
    <w:p w14:paraId="75995003" w14:textId="159F6732" w:rsidR="007405BB" w:rsidRPr="00572508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noProof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noProof/>
          <w:color w:val="000000"/>
          <w:rtl/>
          <w:lang w:bidi="ar-EG"/>
        </w:rPr>
        <w:t>سؤال:</w:t>
      </w:r>
    </w:p>
    <w:p w14:paraId="4F27A7EA" w14:textId="39E9F88F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noProof/>
          <w:color w:val="000000"/>
          <w:rtl/>
          <w:lang w:bidi="ar-EG"/>
        </w:rPr>
        <w:t xml:space="preserve"> هل يصح أن نقول عن العذراء أنها سور خلاصنا؟</w:t>
      </w:r>
      <w:bookmarkEnd w:id="0"/>
    </w:p>
    <w:p w14:paraId="3F619699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>إن أحد البلاميس يشكِّك في هذه التسمية، اعتمادًا على قول إشعياء النبي "تُسَمِّينَ أَسْوَارَكِ خَلاَصًا" (إش60: 18).</w:t>
      </w:r>
    </w:p>
    <w:p w14:paraId="1DDB3637" w14:textId="4B5989AC" w:rsid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 xml:space="preserve">فهل صارت العذراء في مكانة الخلاص؟! </w:t>
      </w:r>
    </w:p>
    <w:p w14:paraId="450373DC" w14:textId="77777777" w:rsidR="00572508" w:rsidRPr="007405BB" w:rsidRDefault="00572508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</w:p>
    <w:p w14:paraId="7DBB8C28" w14:textId="308099BC" w:rsid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الجواب </w:t>
      </w:r>
    </w:p>
    <w:p w14:paraId="5096A0D4" w14:textId="77777777" w:rsidR="00572508" w:rsidRPr="007405BB" w:rsidRDefault="00572508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color w:val="000000"/>
          <w:rtl/>
          <w:lang w:bidi="ar-EG"/>
        </w:rPr>
      </w:pPr>
    </w:p>
    <w:p w14:paraId="1EFCD2DE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إن الكتاب المقدس ليس آية واحدة، بل هو كتاب متكامل... </w:t>
      </w:r>
    </w:p>
    <w:p w14:paraId="64325DB2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 xml:space="preserve">والذي يستخدم آية واحدة ويترك الباقي، لا يقدِّم صورة سليمة لمفهوم الكتاب، ولا المعنى المتكامل الذي يقدِّمه الوحي الإلهي. </w:t>
      </w:r>
    </w:p>
    <w:p w14:paraId="7B4167B4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color w:val="000000"/>
          <w:rtl/>
          <w:lang w:bidi="ar-EG"/>
        </w:rPr>
        <w:t>إن كلمة "السور" تعطي في الكتاب معنى الحماية</w:t>
      </w:r>
    </w:p>
    <w:p w14:paraId="17344FC4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>لذلك قال أحد غلمان نابال الكرملي لأبيجايل عن داود ورجاله: "كَانُوا سُورًا لَنَا لَيْلاً وَنَهَارًا كُلَّ الأَيَّامِ الَّتِي كُنَّا فِيهَا مَعَهُمْ نَرْعَى الْغَنَمَ" (1صم25: 16)، أي كانوا يحمونهم ويحافظون عليهم.</w:t>
      </w:r>
    </w:p>
    <w:p w14:paraId="106C18E5" w14:textId="77777777" w:rsidR="007405BB" w:rsidRPr="00572508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 xml:space="preserve">وبهذا المعنى كان ينظر إلى "أسوار أورشليم"، لحماية المدينة من أعدائها. وأصبحت عبارة "مدينة بلا أسوار" تعني أنها عُرضة لهجوم الأعداء، بلا حماية، بلا حفظ... </w:t>
      </w:r>
    </w:p>
    <w:p w14:paraId="4CE4D0EB" w14:textId="28F314A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فهل اختص الله وحده بكلمة "سور"، أم أُطلق هذا المعنى أيضًا على بعض من البشر. </w:t>
      </w:r>
    </w:p>
    <w:p w14:paraId="012FA27D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 xml:space="preserve">لقد أُطلق هذا اللقب على بعض الناس، ولعل في مقدِّمتهم إرميا النبي، الذي قيل له من فم الرب: </w:t>
      </w:r>
      <w:r w:rsidRPr="007405BB">
        <w:rPr>
          <w:rFonts w:ascii="Tajawal" w:eastAsia="Calibri" w:hAnsi="Tajawal" w:cs="Tajawal"/>
          <w:b/>
          <w:bCs/>
          <w:color w:val="000000"/>
          <w:rtl/>
          <w:lang w:bidi="ar-EG"/>
        </w:rPr>
        <w:t>"وَأَجْعَلُكَ لِهذَا الشَّعْبِ سُورَ نُحَاسٍ حَصِينًا" (إر15: 20).</w:t>
      </w:r>
    </w:p>
    <w:p w14:paraId="1B794418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lastRenderedPageBreak/>
        <w:t>فإن كان هذا النبي قد عيَّنه الله بنفسه لحماية الشعب، بحيث يكون سورًا لهم، وسورًا حصينًا، فليس ضد الإيمان. إذًا تكون العذراء سورًا. فهي ليست أقل من إرميا.</w:t>
      </w:r>
    </w:p>
    <w:p w14:paraId="1636066B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>ويؤكد الرب لإرميا هذا المعنى أيضًا، فيقول له: "هأَنَذَا قَدْ جَعَلْتُكَ الْيَوْمَ مَدِينَةً حَصِينَةً وَعَمُودَ حَدِيدٍ وَأَسْوَارَ نُحَاسٍ عَلَى كُلِّ الأَرْضِ، لِمُلُوكِ يَهُوذَا وَلِرُؤَسَائِهَا وَلِكَهَنَتِهَا وَلِشَعْبِ الأَرْضِ" (إر1: 18).</w:t>
      </w:r>
    </w:p>
    <w:p w14:paraId="31A0F09B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ما أعجب أن يكون إرميا سورًا، لكل الأرض... </w:t>
      </w:r>
    </w:p>
    <w:p w14:paraId="063B2F36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color w:val="000000"/>
          <w:rtl/>
          <w:lang w:bidi="ar-EG"/>
        </w:rPr>
        <w:t xml:space="preserve">والعروس في سفر النشيد أخذت هي أيضًا لقب "سور". </w:t>
      </w:r>
    </w:p>
    <w:p w14:paraId="278ECBA0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>"أَنَا سُورٌ وَثَدْيَايَ كَبُرْجَيْنِ. حِينَئِذٍ كُنْتُ فِي عَيْنَيْهِ كَوَاجِدَةٍ سَلاَمَةً" (نش8: 10). فإن اعتبرنا العروس هنا هي الكنيسة، تكون الكنيسة سورًا للمؤمنين، لحمايتهم من السقوط.</w:t>
      </w:r>
    </w:p>
    <w:p w14:paraId="2C268045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b/>
          <w:bCs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b/>
          <w:bCs/>
          <w:color w:val="000000"/>
          <w:rtl/>
          <w:lang w:bidi="ar-EG"/>
        </w:rPr>
        <w:t>فإن كان إرميا سورًا، والكنيسة سورًا، ما الخطأ في أن تكون العذراء سورًا، تحمينا بصلواتها المقبولة أمام الله.</w:t>
      </w:r>
    </w:p>
    <w:p w14:paraId="5C13AFAB" w14:textId="77777777" w:rsidR="007405BB" w:rsidRPr="007405BB" w:rsidRDefault="007405BB" w:rsidP="007405BB">
      <w:pPr>
        <w:widowControl w:val="0"/>
        <w:spacing w:before="20" w:after="20" w:line="240" w:lineRule="auto"/>
        <w:ind w:hanging="6"/>
        <w:rPr>
          <w:rFonts w:ascii="Tajawal" w:eastAsia="Calibri" w:hAnsi="Tajawal" w:cs="Tajawal"/>
          <w:color w:val="000000"/>
          <w:rtl/>
          <w:lang w:bidi="ar-EG"/>
        </w:rPr>
      </w:pPr>
      <w:r w:rsidRPr="007405BB">
        <w:rPr>
          <w:rFonts w:ascii="Tajawal" w:eastAsia="Calibri" w:hAnsi="Tajawal" w:cs="Tajawal"/>
          <w:color w:val="000000"/>
          <w:rtl/>
          <w:lang w:bidi="ar-EG"/>
        </w:rPr>
        <w:t xml:space="preserve">لقد نلنا الخلاص بدم المسيح. وهذا الذي نلناه يحتاج إلى صلوات تحميه، وتكون سورًا له، حتى لا نسقط بعد الإيمان. </w:t>
      </w:r>
    </w:p>
    <w:p w14:paraId="60997522" w14:textId="1E03D4F2" w:rsidR="006234B6" w:rsidRPr="00572508" w:rsidRDefault="007405BB" w:rsidP="007405BB">
      <w:pPr>
        <w:spacing w:after="0"/>
        <w:rPr>
          <w:rFonts w:ascii="Tajawal" w:hAnsi="Tajawal" w:cs="Tajawal"/>
        </w:rPr>
      </w:pPr>
      <w:r w:rsidRPr="00572508">
        <w:rPr>
          <w:rFonts w:ascii="Tajawal" w:eastAsia="Calibri" w:hAnsi="Tajawal" w:cs="Tajawal"/>
          <w:color w:val="000000"/>
          <w:rtl/>
          <w:lang w:bidi="ar-EG"/>
        </w:rPr>
        <w:t>وليس أقوى من صلوات العذراء، والدة الإله، سور خلاصنا</w:t>
      </w:r>
      <w:r w:rsidRPr="00572508">
        <w:rPr>
          <w:rFonts w:ascii="Tajawal" w:eastAsia="Calibri" w:hAnsi="Tajawal" w:cs="Tajawal"/>
          <w:color w:val="000000"/>
          <w:rtl/>
          <w:lang w:bidi="ar-EG"/>
        </w:rPr>
        <w:t>.</w:t>
      </w:r>
    </w:p>
    <w:sectPr w:rsidR="006234B6" w:rsidRPr="00572508" w:rsidSect="002F474E">
      <w:headerReference w:type="default" r:id="rId7"/>
      <w:footerReference w:type="default" r:id="rId8"/>
      <w:pgSz w:w="11906" w:h="16838" w:code="9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58FE" w14:textId="77777777" w:rsidR="006D2588" w:rsidRDefault="006D2588" w:rsidP="003779A8">
      <w:r>
        <w:separator/>
      </w:r>
    </w:p>
  </w:endnote>
  <w:endnote w:type="continuationSeparator" w:id="0">
    <w:p w14:paraId="37BDE1C0" w14:textId="77777777" w:rsidR="006D2588" w:rsidRDefault="006D2588" w:rsidP="0037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062361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E0E5A" w14:textId="52DEAE8A" w:rsidR="00987980" w:rsidRDefault="00987980" w:rsidP="009879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60EB" w14:textId="77777777" w:rsidR="006D2588" w:rsidRDefault="006D2588" w:rsidP="003779A8">
      <w:r>
        <w:separator/>
      </w:r>
    </w:p>
  </w:footnote>
  <w:footnote w:type="continuationSeparator" w:id="0">
    <w:p w14:paraId="2033488B" w14:textId="77777777" w:rsidR="006D2588" w:rsidRDefault="006D2588" w:rsidP="003779A8">
      <w:r>
        <w:continuationSeparator/>
      </w:r>
    </w:p>
  </w:footnote>
  <w:footnote w:id="1">
    <w:p w14:paraId="77A1A20B" w14:textId="2143BE47" w:rsidR="00572508" w:rsidRDefault="00572508" w:rsidP="00572508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72508">
        <w:rPr>
          <w:rFonts w:hint="cs"/>
          <w:rtl/>
        </w:rPr>
        <w:t xml:space="preserve">مقال لقداسة البابا شنوده الثالث </w:t>
      </w:r>
      <w:r w:rsidRPr="00572508">
        <w:rPr>
          <w:rtl/>
        </w:rPr>
        <w:t>–</w:t>
      </w:r>
      <w:r w:rsidRPr="00572508">
        <w:rPr>
          <w:rFonts w:hint="cs"/>
          <w:rtl/>
        </w:rPr>
        <w:t xml:space="preserve"> بمجلة الكرازة </w:t>
      </w:r>
      <w:r w:rsidRPr="00572508">
        <w:rPr>
          <w:rtl/>
        </w:rPr>
        <w:t>–</w:t>
      </w:r>
      <w:r w:rsidRPr="00572508">
        <w:rPr>
          <w:rFonts w:hint="cs"/>
          <w:rtl/>
        </w:rPr>
        <w:t xml:space="preserve"> السنة العاشرة </w:t>
      </w:r>
      <w:r w:rsidRPr="00572508">
        <w:rPr>
          <w:rtl/>
        </w:rPr>
        <w:t>–</w:t>
      </w:r>
      <w:r w:rsidRPr="00572508">
        <w:rPr>
          <w:rFonts w:hint="cs"/>
          <w:rtl/>
        </w:rPr>
        <w:t xml:space="preserve"> العدد </w:t>
      </w:r>
      <w:r>
        <w:rPr>
          <w:rFonts w:hint="cs"/>
          <w:rtl/>
        </w:rPr>
        <w:t>التاسع والثلاثون</w:t>
      </w:r>
      <w:r w:rsidRPr="00572508">
        <w:rPr>
          <w:rFonts w:hint="cs"/>
          <w:rtl/>
        </w:rPr>
        <w:t xml:space="preserve"> </w:t>
      </w:r>
      <w:r>
        <w:rPr>
          <w:rFonts w:hint="cs"/>
          <w:rtl/>
        </w:rPr>
        <w:t>28</w:t>
      </w:r>
      <w:r w:rsidRPr="00572508">
        <w:rPr>
          <w:rFonts w:hint="cs"/>
          <w:rtl/>
        </w:rPr>
        <w:t>-</w:t>
      </w:r>
      <w:r>
        <w:rPr>
          <w:rFonts w:hint="cs"/>
          <w:rtl/>
        </w:rPr>
        <w:t>9</w:t>
      </w:r>
      <w:r w:rsidRPr="00572508">
        <w:rPr>
          <w:rFonts w:hint="cs"/>
          <w:rtl/>
        </w:rPr>
        <w:t>-1979م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DD53" w14:textId="31F7A5BE" w:rsidR="00F00CD4" w:rsidRDefault="00F00CD4" w:rsidP="003779A8">
    <w:pPr>
      <w:pStyle w:val="Header"/>
    </w:pPr>
    <w:r>
      <w:rPr>
        <w:rFonts w:hint="cs"/>
        <w:noProof/>
        <w:rtl/>
        <w:lang w:val="ar-EG"/>
      </w:rPr>
      <w:drawing>
        <wp:anchor distT="0" distB="0" distL="114300" distR="114300" simplePos="0" relativeHeight="251659264" behindDoc="1" locked="0" layoutInCell="1" allowOverlap="1" wp14:anchorId="049E40DF" wp14:editId="02C06ADD">
          <wp:simplePos x="0" y="0"/>
          <wp:positionH relativeFrom="column">
            <wp:posOffset>5251450</wp:posOffset>
          </wp:positionH>
          <wp:positionV relativeFrom="paragraph">
            <wp:posOffset>-57150</wp:posOffset>
          </wp:positionV>
          <wp:extent cx="691351" cy="7524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351" cy="75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4"/>
    <w:rsid w:val="000E2AAE"/>
    <w:rsid w:val="00145803"/>
    <w:rsid w:val="00165C47"/>
    <w:rsid w:val="002175C6"/>
    <w:rsid w:val="002F474E"/>
    <w:rsid w:val="003779A8"/>
    <w:rsid w:val="003F09E7"/>
    <w:rsid w:val="00572508"/>
    <w:rsid w:val="006234B6"/>
    <w:rsid w:val="006252F8"/>
    <w:rsid w:val="006D2588"/>
    <w:rsid w:val="007405BB"/>
    <w:rsid w:val="00746A50"/>
    <w:rsid w:val="00987980"/>
    <w:rsid w:val="009A1D90"/>
    <w:rsid w:val="00AD2D0A"/>
    <w:rsid w:val="00B22F9E"/>
    <w:rsid w:val="00C1564B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0134E0"/>
  <w15:chartTrackingRefBased/>
  <w15:docId w15:val="{524DE738-E8D1-4FF0-865D-CA97E80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9A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CD4"/>
  </w:style>
  <w:style w:type="paragraph" w:styleId="Footer">
    <w:name w:val="footer"/>
    <w:basedOn w:val="Normal"/>
    <w:link w:val="FooterChar"/>
    <w:uiPriority w:val="99"/>
    <w:unhideWhenUsed/>
    <w:rsid w:val="00F00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CD4"/>
  </w:style>
  <w:style w:type="character" w:styleId="FootnoteReference">
    <w:name w:val="footnote reference"/>
    <w:basedOn w:val="DefaultParagraphFont"/>
    <w:uiPriority w:val="99"/>
    <w:semiHidden/>
    <w:unhideWhenUsed/>
    <w:rsid w:val="007405B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5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508"/>
    <w:rPr>
      <w:rFonts w:ascii="Simplified Arabic" w:hAnsi="Simplified Arabic" w:cs="Simplified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5447-AB85-43AF-BFB7-0ECD3F3C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gec-Helana</dc:creator>
  <cp:keywords/>
  <dc:description/>
  <cp:lastModifiedBy>gec-Helana</cp:lastModifiedBy>
  <cp:revision>12</cp:revision>
  <dcterms:created xsi:type="dcterms:W3CDTF">2024-09-26T11:03:00Z</dcterms:created>
  <dcterms:modified xsi:type="dcterms:W3CDTF">2024-10-31T13:34:00Z</dcterms:modified>
</cp:coreProperties>
</file>