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9BB4" w14:textId="58873D30" w:rsidR="00EF02CA" w:rsidRPr="005951C3" w:rsidRDefault="00EF02CA" w:rsidP="00EF02CA">
      <w:pPr>
        <w:spacing w:after="0" w:line="276" w:lineRule="auto"/>
        <w:jc w:val="center"/>
        <w:rPr>
          <w:rFonts w:ascii="Tajawal" w:eastAsia="Calibri" w:hAnsi="Tajawal" w:cs="Tajawal"/>
          <w:b/>
          <w:bCs/>
          <w:sz w:val="40"/>
          <w:szCs w:val="40"/>
          <w:rtl/>
        </w:rPr>
      </w:pPr>
      <w:r w:rsidRPr="00EF02CA">
        <w:rPr>
          <w:rFonts w:ascii="Tajawal" w:eastAsia="Calibri" w:hAnsi="Tajawal" w:cs="Tajawal"/>
          <w:b/>
          <w:bCs/>
          <w:sz w:val="48"/>
          <w:szCs w:val="48"/>
          <w:rtl/>
        </w:rPr>
        <w:t xml:space="preserve">شــــرح قانــــــون الإيمـــــــان </w:t>
      </w:r>
      <w:r w:rsidRPr="00EF02CA">
        <w:rPr>
          <w:rFonts w:ascii="Tajawal" w:eastAsia="Calibri" w:hAnsi="Tajawal" w:cs="Tajawal"/>
          <w:b/>
          <w:bCs/>
          <w:sz w:val="40"/>
          <w:szCs w:val="40"/>
          <w:rtl/>
        </w:rPr>
        <w:t>-10-</w:t>
      </w:r>
      <w:r w:rsidR="005951C3">
        <w:rPr>
          <w:rStyle w:val="FootnoteReference"/>
          <w:rFonts w:ascii="Tajawal" w:eastAsia="Calibri" w:hAnsi="Tajawal" w:cs="Tajawal"/>
          <w:b/>
          <w:bCs/>
          <w:sz w:val="40"/>
          <w:szCs w:val="40"/>
          <w:rtl/>
        </w:rPr>
        <w:footnoteReference w:id="1"/>
      </w:r>
    </w:p>
    <w:p w14:paraId="0F11F480" w14:textId="77777777" w:rsidR="00EF02CA" w:rsidRPr="00EF02CA" w:rsidRDefault="00EF02CA" w:rsidP="00EF02CA">
      <w:pPr>
        <w:spacing w:after="0" w:line="276" w:lineRule="auto"/>
        <w:jc w:val="center"/>
        <w:rPr>
          <w:rFonts w:ascii="Tajawal" w:eastAsia="Calibri" w:hAnsi="Tajawal" w:cs="Tajawal"/>
          <w:b/>
          <w:bCs/>
        </w:rPr>
      </w:pPr>
    </w:p>
    <w:p w14:paraId="2CC6502A" w14:textId="77777777"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ونعترف بمعمودية واحدة:</w:t>
      </w:r>
    </w:p>
    <w:p w14:paraId="4EFE13D4" w14:textId="30343851"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 xml:space="preserve">إن قانون الإيمان المسيحي، </w:t>
      </w:r>
      <w:r w:rsidRPr="005951C3">
        <w:rPr>
          <w:rFonts w:ascii="Tajawal" w:eastAsia="Calibri" w:hAnsi="Tajawal" w:cs="Tajawal"/>
          <w:rtl/>
        </w:rPr>
        <w:t>اهتم</w:t>
      </w:r>
      <w:r w:rsidRPr="00EF02CA">
        <w:rPr>
          <w:rFonts w:ascii="Tajawal" w:eastAsia="Calibri" w:hAnsi="Tajawal" w:cs="Tajawal"/>
          <w:rtl/>
        </w:rPr>
        <w:t xml:space="preserve"> بالمعمودية كركن عظيم من أركان الإيمان، فوضعها بعد عقيدة الثالوث، والكنيسة، مباشرة. أما كون المعمودية واحدة، فمأخوذ من رسالة أفسس: "</w:t>
      </w:r>
      <w:r w:rsidRPr="005951C3">
        <w:rPr>
          <w:rFonts w:ascii="Tajawal" w:eastAsia="Calibri" w:hAnsi="Tajawal" w:cs="Tajawal"/>
          <w:rtl/>
        </w:rPr>
        <w:t>رَبٌّ وَاحِدٌ، إِيمَانٌ وَاحِدٌ، مَعْمُودِيَّةٌ وَاحِدَةٌ</w:t>
      </w:r>
      <w:r w:rsidRPr="00EF02CA">
        <w:rPr>
          <w:rFonts w:ascii="Tajawal" w:eastAsia="Calibri" w:hAnsi="Tajawal" w:cs="Tajawal"/>
          <w:rtl/>
        </w:rPr>
        <w:t>" (أف4: 5).</w:t>
      </w:r>
    </w:p>
    <w:p w14:paraId="044B8B2E" w14:textId="77777777"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 xml:space="preserve">وطبيعي أن تكون المعمودية واحدة، لأنها موت مع المسيح (رو6) ولأنها لغفران الخطية الأصلية، وكل ما يسبق المعمودية، من خطايا. </w:t>
      </w:r>
    </w:p>
    <w:p w14:paraId="61270B0C" w14:textId="77777777"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 xml:space="preserve">أما الخطايا التي بعد المعمودية، فتغفر في سر التوبة. </w:t>
      </w:r>
    </w:p>
    <w:p w14:paraId="31DFB310" w14:textId="77777777"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حتى لو حدث أن إنسانًا ترك الإيمان المسيحي كله إلى دين آخر، ثم عاد إلى مسيحيته، فإن معموديته أيضًا لا تعاد، لأنها سمة لا تمحى، بها يولد الإنسان من الماء والروح (يو3)، والإنسان يولد مرة واحدة.</w:t>
      </w:r>
    </w:p>
    <w:p w14:paraId="6DE52F45" w14:textId="77777777"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 xml:space="preserve">... لمغفرة الخطايا: </w:t>
      </w:r>
    </w:p>
    <w:p w14:paraId="0C536EB1" w14:textId="5348546B"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لقد شرح قانون الإيمان أن المعمودية لمغفرة الخطايا، وهذا النص مأخوذ من قول بطرس الرسول لليهود في يوم الخمسين: "</w:t>
      </w:r>
      <w:r w:rsidRPr="005951C3">
        <w:rPr>
          <w:rFonts w:ascii="Tajawal" w:hAnsi="Tajawal" w:cs="Tajawal"/>
          <w:rtl/>
        </w:rPr>
        <w:t xml:space="preserve"> </w:t>
      </w:r>
      <w:r w:rsidRPr="005951C3">
        <w:rPr>
          <w:rFonts w:ascii="Tajawal" w:eastAsia="Calibri" w:hAnsi="Tajawal" w:cs="Tajawal"/>
          <w:rtl/>
        </w:rPr>
        <w:t>تُوبُوا وَلْيَعْتَمِدْ كُلُّ وَاحِدٍ مِنْكُمْ عَلَى اسْمِ يَسُوعَ الْمَسِيحِ لِغُفْرَانِ الْخَطَايَا</w:t>
      </w:r>
      <w:r w:rsidRPr="00EF02CA">
        <w:rPr>
          <w:rFonts w:ascii="Tajawal" w:eastAsia="Calibri" w:hAnsi="Tajawal" w:cs="Tajawal"/>
          <w:rtl/>
        </w:rPr>
        <w:t>" (أع2: 38).</w:t>
      </w:r>
    </w:p>
    <w:p w14:paraId="77CA4341" w14:textId="6AF9B7C0"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ويؤيد هذا القول أيضًا قول القديس حنانيا لشاول الطرسوسي (القديس بولس): "</w:t>
      </w:r>
      <w:r w:rsidR="00D768DB" w:rsidRPr="005951C3">
        <w:rPr>
          <w:rFonts w:ascii="Tajawal" w:hAnsi="Tajawal" w:cs="Tajawal"/>
          <w:rtl/>
        </w:rPr>
        <w:t xml:space="preserve"> </w:t>
      </w:r>
      <w:r w:rsidR="00D768DB" w:rsidRPr="005951C3">
        <w:rPr>
          <w:rFonts w:ascii="Tajawal" w:eastAsia="Calibri" w:hAnsi="Tajawal" w:cs="Tajawal"/>
          <w:rtl/>
        </w:rPr>
        <w:t>أَيُّهَا الأَخُ شَاوُلُ</w:t>
      </w:r>
      <w:r w:rsidRPr="00EF02CA">
        <w:rPr>
          <w:rFonts w:ascii="Tajawal" w:eastAsia="Calibri" w:hAnsi="Tajawal" w:cs="Tajawal"/>
          <w:rtl/>
        </w:rPr>
        <w:t xml:space="preserve">... </w:t>
      </w:r>
      <w:r w:rsidRPr="005951C3">
        <w:rPr>
          <w:rFonts w:ascii="Tajawal" w:eastAsia="Calibri" w:hAnsi="Tajawal" w:cs="Tajawal"/>
          <w:rtl/>
        </w:rPr>
        <w:t>لِمَاذَا تَتَوَانَى؟ قُمْ وَاعْتَمِدْ وَاغْسِلْ خَطَايَاكَ</w:t>
      </w:r>
      <w:r w:rsidRPr="00EF02CA">
        <w:rPr>
          <w:rFonts w:ascii="Tajawal" w:eastAsia="Calibri" w:hAnsi="Tajawal" w:cs="Tajawal"/>
          <w:rtl/>
        </w:rPr>
        <w:t>" (أع22: 16).</w:t>
      </w:r>
    </w:p>
    <w:p w14:paraId="25831558" w14:textId="2B0161BE"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lastRenderedPageBreak/>
        <w:t xml:space="preserve">فعلى الرغم من إيمان بولس الرسول، ولقائه مع السيد المسيح وجهًا لوجه، </w:t>
      </w:r>
      <w:r w:rsidR="00D768DB" w:rsidRPr="005951C3">
        <w:rPr>
          <w:rFonts w:ascii="Tajawal" w:eastAsia="Calibri" w:hAnsi="Tajawal" w:cs="Tajawal"/>
          <w:rtl/>
        </w:rPr>
        <w:t>واختيار</w:t>
      </w:r>
      <w:r w:rsidRPr="00EF02CA">
        <w:rPr>
          <w:rFonts w:ascii="Tajawal" w:eastAsia="Calibri" w:hAnsi="Tajawal" w:cs="Tajawal"/>
          <w:rtl/>
        </w:rPr>
        <w:t xml:space="preserve"> الرب له ليحمل </w:t>
      </w:r>
      <w:r w:rsidR="00D768DB" w:rsidRPr="005951C3">
        <w:rPr>
          <w:rFonts w:ascii="Tajawal" w:eastAsia="Calibri" w:hAnsi="Tajawal" w:cs="Tajawal"/>
          <w:rtl/>
        </w:rPr>
        <w:t>اسمه</w:t>
      </w:r>
      <w:r w:rsidRPr="00EF02CA">
        <w:rPr>
          <w:rFonts w:ascii="Tajawal" w:eastAsia="Calibri" w:hAnsi="Tajawal" w:cs="Tajawal"/>
          <w:rtl/>
        </w:rPr>
        <w:t xml:space="preserve"> إلى أمم وشعوب، على الرغم من كل هذا كانت خطاياه السابقة لم تغسل بعد، واحتاج إلى المعمودية لغسل خطاياه. </w:t>
      </w:r>
    </w:p>
    <w:p w14:paraId="30D686D8" w14:textId="77777777"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 xml:space="preserve">وننتظر قيامة الأموات: </w:t>
      </w:r>
    </w:p>
    <w:p w14:paraId="30FFD6F3" w14:textId="74928FC1"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 xml:space="preserve">الكنيسة تؤمن بقيامة الأموات، وترى أنه لولاها ما كان لحياتنا على الأرض هدف. وكما قال بولس الرسول: "لو </w:t>
      </w:r>
      <w:r w:rsidR="00D768DB" w:rsidRPr="005951C3">
        <w:rPr>
          <w:rFonts w:ascii="Tajawal" w:eastAsia="Calibri" w:hAnsi="Tajawal" w:cs="Tajawal"/>
          <w:rtl/>
        </w:rPr>
        <w:t>كَانَ لَنَا فِي هذِهِ الْحَيَاةِ فَقَطْ رَجَاءٌ فِي الْمَسِيحِ، فَإِنَّنَا أَشْقَى جَمِيعِ النَّاسِ</w:t>
      </w:r>
      <w:r w:rsidR="00D768DB" w:rsidRPr="005951C3">
        <w:rPr>
          <w:rFonts w:ascii="Tajawal" w:eastAsia="Calibri" w:hAnsi="Tajawal" w:cs="Tajawal"/>
          <w:rtl/>
        </w:rPr>
        <w:t xml:space="preserve"> </w:t>
      </w:r>
      <w:r w:rsidRPr="00EF02CA">
        <w:rPr>
          <w:rFonts w:ascii="Tajawal" w:eastAsia="Calibri" w:hAnsi="Tajawal" w:cs="Tajawal"/>
          <w:rtl/>
        </w:rPr>
        <w:t>" (1كو15: 17).</w:t>
      </w:r>
    </w:p>
    <w:p w14:paraId="61E5F0E2" w14:textId="77777777"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 xml:space="preserve">والقيامة سيكون موعدها مع مجيء المسيح الثاني: </w:t>
      </w:r>
    </w:p>
    <w:p w14:paraId="4D56E851" w14:textId="72FFDA81"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وقد ورد في الإنجيل: "</w:t>
      </w:r>
      <w:r w:rsidR="00D768DB" w:rsidRPr="005951C3">
        <w:rPr>
          <w:rFonts w:ascii="Tajawal" w:eastAsia="Calibri" w:hAnsi="Tajawal" w:cs="Tajawal"/>
          <w:rtl/>
        </w:rPr>
        <w:t xml:space="preserve"> يَسْمَعُ جَمِيعُ الَّذِينَ فِي الْقُبُورِ صَوْتَهُ</w:t>
      </w:r>
      <w:r w:rsidRPr="00EF02CA">
        <w:rPr>
          <w:rFonts w:ascii="Tajawal" w:eastAsia="Calibri" w:hAnsi="Tajawal" w:cs="Tajawal"/>
          <w:rtl/>
        </w:rPr>
        <w:t xml:space="preserve">. </w:t>
      </w:r>
      <w:r w:rsidR="00D768DB" w:rsidRPr="005951C3">
        <w:rPr>
          <w:rFonts w:ascii="Tajawal" w:eastAsia="Calibri" w:hAnsi="Tajawal" w:cs="Tajawal"/>
          <w:rtl/>
        </w:rPr>
        <w:t>فَيَخْرُجُ الَّذِينَ فَعَلُوا الصَّالِحَاتِ إِلَى قِيَامَةِ الْحَيَاةِ، وَالَّذِينَ عَمِلُوا السَّيِّئَاتِ إِلَى قِيَامَةِ الدَّيْنُونَة</w:t>
      </w:r>
      <w:r w:rsidRPr="00EF02CA">
        <w:rPr>
          <w:rFonts w:ascii="Tajawal" w:eastAsia="Calibri" w:hAnsi="Tajawal" w:cs="Tajawal"/>
          <w:rtl/>
        </w:rPr>
        <w:t>" (يو5 :29).</w:t>
      </w:r>
    </w:p>
    <w:p w14:paraId="1A1B3994" w14:textId="77777777"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 xml:space="preserve">إذن مجيء المسيح الثاني، والقيامة، والدينونة أعمال متتابعة. </w:t>
      </w:r>
    </w:p>
    <w:p w14:paraId="217CA78D" w14:textId="77777777"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وتعتبر قيامة السيد المسيح، هي الباكورة.</w:t>
      </w:r>
    </w:p>
    <w:p w14:paraId="46349C52" w14:textId="77777777"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وفي القيامة، نقوم على شبه جسد مجده</w:t>
      </w:r>
    </w:p>
    <w:p w14:paraId="6B5DD64B" w14:textId="62DDB3C1"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وذلك كما شرح بولس الرسول في (1كو15: 42- 44): "</w:t>
      </w:r>
      <w:r w:rsidR="00D768DB" w:rsidRPr="005951C3">
        <w:rPr>
          <w:rFonts w:ascii="Tajawal" w:hAnsi="Tajawal" w:cs="Tajawal"/>
          <w:rtl/>
        </w:rPr>
        <w:t xml:space="preserve"> </w:t>
      </w:r>
      <w:r w:rsidR="00D768DB" w:rsidRPr="005951C3">
        <w:rPr>
          <w:rFonts w:ascii="Tajawal" w:eastAsia="Calibri" w:hAnsi="Tajawal" w:cs="Tajawal"/>
          <w:rtl/>
        </w:rPr>
        <w:t>هكَذَا أَيْضًا قِيَامَةُ الأَمْوَاتِ: يُزْرَعُ فِي فَسَادٍ وَيُقَامُ فِي عَدَمِ فَسَادٍ</w:t>
      </w:r>
      <w:r w:rsidRPr="00EF02CA">
        <w:rPr>
          <w:rFonts w:ascii="Tajawal" w:eastAsia="Calibri" w:hAnsi="Tajawal" w:cs="Tajawal"/>
          <w:rtl/>
        </w:rPr>
        <w:t xml:space="preserve">. </w:t>
      </w:r>
      <w:r w:rsidR="00D768DB" w:rsidRPr="005951C3">
        <w:rPr>
          <w:rFonts w:ascii="Tajawal" w:eastAsia="Calibri" w:hAnsi="Tajawal" w:cs="Tajawal"/>
          <w:rtl/>
        </w:rPr>
        <w:t>يُزْرَعُ فِي هَوَانٍ وَيُقَامُ فِي مَجْدٍ. يُزْرَعُ فِي ضَعْفٍ وَيُقَامُ فِي قُوَّةٍ</w:t>
      </w:r>
      <w:r w:rsidR="00D768DB" w:rsidRPr="005951C3">
        <w:rPr>
          <w:rFonts w:ascii="Tajawal" w:eastAsia="Calibri" w:hAnsi="Tajawal" w:cs="Tajawal"/>
          <w:rtl/>
        </w:rPr>
        <w:t xml:space="preserve"> </w:t>
      </w:r>
      <w:r w:rsidR="00D768DB" w:rsidRPr="005951C3">
        <w:rPr>
          <w:rFonts w:ascii="Tajawal" w:eastAsia="Calibri" w:hAnsi="Tajawal" w:cs="Tajawal"/>
          <w:rtl/>
        </w:rPr>
        <w:t>يُزْرَعُ جِسْمًا حَيَوَانِيًّا وَيُقَامُ جِسْمًا رُوحَانِيًّا</w:t>
      </w:r>
      <w:r w:rsidRPr="00EF02CA">
        <w:rPr>
          <w:rFonts w:ascii="Tajawal" w:eastAsia="Calibri" w:hAnsi="Tajawal" w:cs="Tajawal"/>
          <w:rtl/>
        </w:rPr>
        <w:t xml:space="preserve">". </w:t>
      </w:r>
    </w:p>
    <w:p w14:paraId="09F2F9A7" w14:textId="4CF3F086"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t>وفي القيامة، الأجساد المقامة لا تأكل ولا تشرب، ولا تجوع ولا تتعب، ولا تمرض، ولا تنحل، ولا تموت... ولا يكون زواج في الملكوت"</w:t>
      </w:r>
      <w:r w:rsidR="00E302F6" w:rsidRPr="005951C3">
        <w:rPr>
          <w:rFonts w:ascii="Tajawal" w:eastAsia="Calibri" w:hAnsi="Tajawal" w:cs="Tajawal"/>
          <w:rtl/>
        </w:rPr>
        <w:t xml:space="preserve"> بَلْ</w:t>
      </w:r>
      <w:r w:rsidR="00D768DB" w:rsidRPr="005951C3">
        <w:rPr>
          <w:rFonts w:ascii="Tajawal" w:eastAsia="Calibri" w:hAnsi="Tajawal" w:cs="Tajawal"/>
          <w:rtl/>
        </w:rPr>
        <w:t xml:space="preserve"> يَكُونُونَ كَمَلاَئِكَةِ اللهِ فِي السَّمَاءِ</w:t>
      </w:r>
      <w:r w:rsidRPr="00EF02CA">
        <w:rPr>
          <w:rFonts w:ascii="Tajawal" w:eastAsia="Calibri" w:hAnsi="Tajawal" w:cs="Tajawal"/>
          <w:rtl/>
        </w:rPr>
        <w:t xml:space="preserve">. </w:t>
      </w:r>
      <w:r w:rsidR="00E302F6" w:rsidRPr="005951C3">
        <w:rPr>
          <w:rFonts w:ascii="Tajawal" w:eastAsia="Calibri" w:hAnsi="Tajawal" w:cs="Tajawal"/>
          <w:rtl/>
        </w:rPr>
        <w:t>لاَ يُزَوِّجُونَ وَلاَ يَتَزَوَّجُونَ</w:t>
      </w:r>
      <w:r w:rsidRPr="00EF02CA">
        <w:rPr>
          <w:rFonts w:ascii="Tajawal" w:eastAsia="Calibri" w:hAnsi="Tajawal" w:cs="Tajawal"/>
          <w:rtl/>
        </w:rPr>
        <w:t xml:space="preserve">". </w:t>
      </w:r>
    </w:p>
    <w:p w14:paraId="49603FA1" w14:textId="77777777"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وحياة الدهر الآتي:</w:t>
      </w:r>
    </w:p>
    <w:p w14:paraId="0C75D3AA" w14:textId="53F586E3" w:rsidR="00EF02CA" w:rsidRPr="00EF02CA" w:rsidRDefault="00EF02CA" w:rsidP="00EF02CA">
      <w:pPr>
        <w:spacing w:after="0" w:line="276" w:lineRule="auto"/>
        <w:rPr>
          <w:rFonts w:ascii="Tajawal" w:eastAsia="Calibri" w:hAnsi="Tajawal" w:cs="Tajawal"/>
          <w:rtl/>
        </w:rPr>
      </w:pPr>
      <w:r w:rsidRPr="00EF02CA">
        <w:rPr>
          <w:rFonts w:ascii="Tajawal" w:eastAsia="Calibri" w:hAnsi="Tajawal" w:cs="Tajawal"/>
          <w:rtl/>
        </w:rPr>
        <w:lastRenderedPageBreak/>
        <w:t>إنها الحياة في أورشليم السمائية، مسكن الله مع الناس، حيث "</w:t>
      </w:r>
      <w:r w:rsidR="00E302F6" w:rsidRPr="005951C3">
        <w:rPr>
          <w:rFonts w:ascii="Tajawal" w:hAnsi="Tajawal" w:cs="Tajawal"/>
          <w:rtl/>
        </w:rPr>
        <w:t xml:space="preserve"> </w:t>
      </w:r>
      <w:r w:rsidR="00E302F6" w:rsidRPr="005951C3">
        <w:rPr>
          <w:rFonts w:ascii="Tajawal" w:eastAsia="Calibri" w:hAnsi="Tajawal" w:cs="Tajawal"/>
          <w:rtl/>
        </w:rPr>
        <w:t>مَا لَمْ تَرَ عَيْنٌ، وَلَمْ تَسْمَعْ أُذُنٌ، وَلَمْ يَخْطُرْ عَلَى بَالِ إِنْسَانٍ: مَا أَعَدَّهُ اللهُ لِلَّذِينَ يُحِبُّونَهُ</w:t>
      </w:r>
      <w:r w:rsidRPr="00EF02CA">
        <w:rPr>
          <w:rFonts w:ascii="Tajawal" w:eastAsia="Calibri" w:hAnsi="Tajawal" w:cs="Tajawal"/>
          <w:rtl/>
        </w:rPr>
        <w:t xml:space="preserve">". </w:t>
      </w:r>
    </w:p>
    <w:p w14:paraId="1F45E1DF" w14:textId="6BE17031" w:rsidR="00EF02CA" w:rsidRPr="00EF02CA" w:rsidRDefault="00EF02CA" w:rsidP="00EF02CA">
      <w:pPr>
        <w:spacing w:after="0" w:line="276" w:lineRule="auto"/>
        <w:rPr>
          <w:rFonts w:ascii="Tajawal" w:eastAsia="Calibri" w:hAnsi="Tajawal" w:cs="Tajawal"/>
          <w:b/>
          <w:bCs/>
          <w:rtl/>
        </w:rPr>
      </w:pPr>
      <w:r w:rsidRPr="00EF02CA">
        <w:rPr>
          <w:rFonts w:ascii="Tajawal" w:eastAsia="Calibri" w:hAnsi="Tajawal" w:cs="Tajawal"/>
          <w:b/>
          <w:bCs/>
          <w:rtl/>
        </w:rPr>
        <w:t xml:space="preserve">هذه الحياة في الدهر الآتي، </w:t>
      </w:r>
      <w:r w:rsidR="00E302F6" w:rsidRPr="005951C3">
        <w:rPr>
          <w:rFonts w:ascii="Tajawal" w:eastAsia="Calibri" w:hAnsi="Tajawal" w:cs="Tajawal"/>
          <w:b/>
          <w:bCs/>
          <w:rtl/>
        </w:rPr>
        <w:t>هِيَ الْحَيَاةُ الأَبَدِيَّةُ</w:t>
      </w:r>
      <w:r w:rsidRPr="00EF02CA">
        <w:rPr>
          <w:rFonts w:ascii="Tajawal" w:eastAsia="Calibri" w:hAnsi="Tajawal" w:cs="Tajawal"/>
          <w:b/>
          <w:bCs/>
          <w:rtl/>
        </w:rPr>
        <w:t xml:space="preserve">.  </w:t>
      </w:r>
    </w:p>
    <w:p w14:paraId="67C6DF1C" w14:textId="77777777" w:rsidR="00107951" w:rsidRPr="005951C3" w:rsidRDefault="00107951" w:rsidP="00A4308D">
      <w:pPr>
        <w:spacing w:after="0"/>
        <w:rPr>
          <w:rFonts w:ascii="Tajawal" w:hAnsi="Tajawal" w:cs="Tajawal"/>
          <w:rtl/>
        </w:rPr>
      </w:pPr>
    </w:p>
    <w:sectPr w:rsidR="00107951" w:rsidRPr="005951C3"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B714" w14:textId="77777777" w:rsidR="008A6BBC" w:rsidRDefault="008A6BBC" w:rsidP="00C44C89">
      <w:r>
        <w:separator/>
      </w:r>
    </w:p>
  </w:endnote>
  <w:endnote w:type="continuationSeparator" w:id="0">
    <w:p w14:paraId="2AED212B" w14:textId="77777777" w:rsidR="008A6BBC" w:rsidRDefault="008A6BBC"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1559" w14:textId="77777777" w:rsidR="008A6BBC" w:rsidRDefault="008A6BBC" w:rsidP="00C44C89">
      <w:r>
        <w:separator/>
      </w:r>
    </w:p>
  </w:footnote>
  <w:footnote w:type="continuationSeparator" w:id="0">
    <w:p w14:paraId="7D964524" w14:textId="77777777" w:rsidR="008A6BBC" w:rsidRDefault="008A6BBC" w:rsidP="00C44C89">
      <w:r>
        <w:continuationSeparator/>
      </w:r>
    </w:p>
  </w:footnote>
  <w:footnote w:id="1">
    <w:p w14:paraId="57434642" w14:textId="38669E40" w:rsidR="005951C3" w:rsidRDefault="005951C3">
      <w:pPr>
        <w:pStyle w:val="FootnoteText"/>
        <w:rPr>
          <w:rFonts w:hint="cs"/>
        </w:rPr>
      </w:pPr>
      <w:r>
        <w:rPr>
          <w:rStyle w:val="FootnoteReference"/>
        </w:rPr>
        <w:footnoteRef/>
      </w:r>
      <w:r>
        <w:rPr>
          <w:rtl/>
        </w:rPr>
        <w:t xml:space="preserve"> </w:t>
      </w:r>
      <w:r w:rsidRPr="00EA197D">
        <w:rPr>
          <w:rtl/>
        </w:rPr>
        <w:t xml:space="preserve">مقال لقداسة البابا شنوده الثالث – بمجلة الكرازة – السنة </w:t>
      </w:r>
      <w:r>
        <w:rPr>
          <w:rFonts w:hint="cs"/>
          <w:rtl/>
        </w:rPr>
        <w:t>الثانية</w:t>
      </w:r>
      <w:r w:rsidRPr="00EA197D">
        <w:rPr>
          <w:rtl/>
        </w:rPr>
        <w:t xml:space="preserve"> عشرة – العدد</w:t>
      </w:r>
      <w:r>
        <w:rPr>
          <w:rFonts w:hint="cs"/>
          <w:rtl/>
        </w:rPr>
        <w:t xml:space="preserve"> </w:t>
      </w:r>
      <w:r>
        <w:rPr>
          <w:rFonts w:hint="cs"/>
          <w:rtl/>
        </w:rPr>
        <w:t>السابع</w:t>
      </w:r>
      <w:r>
        <w:rPr>
          <w:rFonts w:hint="cs"/>
          <w:rtl/>
        </w:rPr>
        <w:t xml:space="preserve"> </w:t>
      </w:r>
      <w:r>
        <w:rPr>
          <w:rFonts w:hint="cs"/>
          <w:rtl/>
        </w:rPr>
        <w:t>13</w:t>
      </w:r>
      <w:r>
        <w:rPr>
          <w:rFonts w:hint="cs"/>
          <w:rtl/>
        </w:rPr>
        <w:t>-2-1981م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56803"/>
    <w:rsid w:val="004C7D3A"/>
    <w:rsid w:val="005951C3"/>
    <w:rsid w:val="006234B6"/>
    <w:rsid w:val="006252F8"/>
    <w:rsid w:val="0071737F"/>
    <w:rsid w:val="007F44A5"/>
    <w:rsid w:val="008A6BBC"/>
    <w:rsid w:val="009E4EF4"/>
    <w:rsid w:val="009E79E2"/>
    <w:rsid w:val="00A4308D"/>
    <w:rsid w:val="00AD2D0A"/>
    <w:rsid w:val="00C1564B"/>
    <w:rsid w:val="00C37132"/>
    <w:rsid w:val="00C44C89"/>
    <w:rsid w:val="00CD218A"/>
    <w:rsid w:val="00D768DB"/>
    <w:rsid w:val="00DF30C4"/>
    <w:rsid w:val="00E060A7"/>
    <w:rsid w:val="00E302F6"/>
    <w:rsid w:val="00E51A9F"/>
    <w:rsid w:val="00E51CCE"/>
    <w:rsid w:val="00EF02CA"/>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2024-12-16T13:13:00Z</dcterms:modified>
</cp:coreProperties>
</file>