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17D6F" w14:textId="383F9D95" w:rsidR="00866F9D" w:rsidRPr="00C34CE5" w:rsidRDefault="00866F9D" w:rsidP="00D9610A">
      <w:pPr>
        <w:spacing w:after="0" w:line="276" w:lineRule="auto"/>
        <w:jc w:val="center"/>
        <w:rPr>
          <w:rFonts w:ascii="Tajawal" w:eastAsia="Calibri" w:hAnsi="Tajawal" w:cs="Tajawal"/>
          <w:b/>
          <w:bCs/>
          <w:sz w:val="40"/>
          <w:szCs w:val="40"/>
          <w:rtl/>
        </w:rPr>
      </w:pPr>
      <w:r w:rsidRPr="00866F9D">
        <w:rPr>
          <w:rFonts w:ascii="Tajawal" w:eastAsia="Calibri" w:hAnsi="Tajawal" w:cs="Tajawal"/>
          <w:b/>
          <w:bCs/>
          <w:sz w:val="48"/>
          <w:szCs w:val="48"/>
          <w:rtl/>
        </w:rPr>
        <w:t>شــــــرح قانـــــــون الإيمـــــــان</w:t>
      </w:r>
      <w:r w:rsidRPr="00866F9D">
        <w:rPr>
          <w:rFonts w:ascii="Tajawal" w:eastAsia="Calibri" w:hAnsi="Tajawal" w:cs="Tajawal"/>
          <w:b/>
          <w:bCs/>
          <w:sz w:val="40"/>
          <w:szCs w:val="40"/>
          <w:rtl/>
        </w:rPr>
        <w:t>-6-</w:t>
      </w:r>
      <w:r w:rsidR="00C34CE5">
        <w:rPr>
          <w:rStyle w:val="FootnoteReference"/>
          <w:rFonts w:ascii="Tajawal" w:eastAsia="Calibri" w:hAnsi="Tajawal" w:cs="Tajawal"/>
          <w:b/>
          <w:bCs/>
          <w:sz w:val="40"/>
          <w:szCs w:val="40"/>
          <w:rtl/>
        </w:rPr>
        <w:footnoteReference w:id="1"/>
      </w:r>
    </w:p>
    <w:p w14:paraId="074010B5" w14:textId="77777777" w:rsidR="00D9610A" w:rsidRPr="00866F9D" w:rsidRDefault="00D9610A" w:rsidP="00D9610A">
      <w:pPr>
        <w:spacing w:after="0" w:line="276" w:lineRule="auto"/>
        <w:jc w:val="center"/>
        <w:rPr>
          <w:rFonts w:ascii="Tajawal" w:eastAsia="Calibri" w:hAnsi="Tajawal" w:cs="Tajawal"/>
          <w:b/>
          <w:bCs/>
          <w:sz w:val="40"/>
          <w:szCs w:val="40"/>
          <w:rtl/>
        </w:rPr>
      </w:pPr>
    </w:p>
    <w:p w14:paraId="4D6607A1" w14:textId="165E560E" w:rsidR="00866F9D" w:rsidRPr="00866F9D" w:rsidRDefault="00866F9D" w:rsidP="00866F9D">
      <w:pPr>
        <w:spacing w:after="0" w:line="276" w:lineRule="auto"/>
        <w:rPr>
          <w:rFonts w:ascii="Tajawal" w:eastAsia="Calibri" w:hAnsi="Tajawal" w:cs="Tajawal"/>
          <w:b/>
          <w:bCs/>
          <w:sz w:val="40"/>
          <w:szCs w:val="40"/>
          <w:rtl/>
        </w:rPr>
      </w:pPr>
      <w:r w:rsidRPr="00866F9D">
        <w:rPr>
          <w:rFonts w:ascii="Tajawal" w:eastAsia="Calibri" w:hAnsi="Tajawal" w:cs="Tajawal"/>
          <w:b/>
          <w:bCs/>
          <w:sz w:val="40"/>
          <w:szCs w:val="40"/>
          <w:rtl/>
        </w:rPr>
        <w:t xml:space="preserve"> وصعد إلى السموات: </w:t>
      </w:r>
    </w:p>
    <w:p w14:paraId="5E3F9283" w14:textId="48EAACE1" w:rsidR="00866F9D" w:rsidRPr="00866F9D" w:rsidRDefault="00866F9D" w:rsidP="00866F9D">
      <w:pPr>
        <w:spacing w:after="0" w:line="276" w:lineRule="auto"/>
        <w:rPr>
          <w:rFonts w:ascii="Tajawal" w:eastAsia="Calibri" w:hAnsi="Tajawal" w:cs="Tajawal"/>
          <w:rtl/>
        </w:rPr>
      </w:pPr>
      <w:r w:rsidRPr="00866F9D">
        <w:rPr>
          <w:rFonts w:ascii="Tajawal" w:eastAsia="Calibri" w:hAnsi="Tajawal" w:cs="Tajawal"/>
          <w:rtl/>
        </w:rPr>
        <w:t xml:space="preserve">الله لا يصعد ولا ينزل، لأنه </w:t>
      </w:r>
      <w:r w:rsidRPr="00C34CE5">
        <w:rPr>
          <w:rFonts w:ascii="Tajawal" w:eastAsia="Calibri" w:hAnsi="Tajawal" w:cs="Tajawal"/>
          <w:rtl/>
        </w:rPr>
        <w:t>مالئ</w:t>
      </w:r>
      <w:r w:rsidRPr="00866F9D">
        <w:rPr>
          <w:rFonts w:ascii="Tajawal" w:eastAsia="Calibri" w:hAnsi="Tajawal" w:cs="Tajawal"/>
          <w:rtl/>
        </w:rPr>
        <w:t xml:space="preserve"> كل مكان. هو في السموات، وهو على الأرض، وهو ما بين هذه وتلك. لا يخلو منه مكان، هو في السماء التي قيل </w:t>
      </w:r>
      <w:r w:rsidRPr="00C34CE5">
        <w:rPr>
          <w:rFonts w:ascii="Tajawal" w:eastAsia="Calibri" w:hAnsi="Tajawal" w:cs="Tajawal"/>
          <w:rtl/>
        </w:rPr>
        <w:t>إنه</w:t>
      </w:r>
      <w:r w:rsidRPr="00866F9D">
        <w:rPr>
          <w:rFonts w:ascii="Tajawal" w:eastAsia="Calibri" w:hAnsi="Tajawal" w:cs="Tajawal"/>
          <w:rtl/>
        </w:rPr>
        <w:t xml:space="preserve"> يصعد إليها. وهو دائمًا على الأرض التي يصعد منها إلى السماء، لا يفارقها. </w:t>
      </w:r>
    </w:p>
    <w:p w14:paraId="47E4A26D" w14:textId="50A1728D" w:rsidR="00866F9D" w:rsidRPr="00866F9D" w:rsidRDefault="00866F9D" w:rsidP="00866F9D">
      <w:pPr>
        <w:spacing w:after="0" w:line="276" w:lineRule="auto"/>
        <w:rPr>
          <w:rFonts w:ascii="Tajawal" w:eastAsia="Calibri" w:hAnsi="Tajawal" w:cs="Tajawal"/>
          <w:rtl/>
        </w:rPr>
      </w:pPr>
      <w:r w:rsidRPr="00866F9D">
        <w:rPr>
          <w:rFonts w:ascii="Tajawal" w:eastAsia="Calibri" w:hAnsi="Tajawal" w:cs="Tajawal"/>
          <w:rtl/>
        </w:rPr>
        <w:t>إذ</w:t>
      </w:r>
      <w:r w:rsidRPr="00C34CE5">
        <w:rPr>
          <w:rFonts w:ascii="Tajawal" w:eastAsia="Calibri" w:hAnsi="Tajawal" w:cs="Tajawal"/>
          <w:rtl/>
        </w:rPr>
        <w:t>ًا</w:t>
      </w:r>
      <w:r w:rsidRPr="00866F9D">
        <w:rPr>
          <w:rFonts w:ascii="Tajawal" w:eastAsia="Calibri" w:hAnsi="Tajawal" w:cs="Tajawal"/>
          <w:rtl/>
        </w:rPr>
        <w:t xml:space="preserve"> ما معنى كلمة صعد؟ ليس معناها أنه صعد باللاهوت، إنما صعد بالجسد (المتحد باللاهوت). هذا الصعود الذي ورد في (أع1: 9). ومن الناحية اللاهوتية فإن عبارة (صعد). تعني </w:t>
      </w:r>
      <w:r w:rsidRPr="00C34CE5">
        <w:rPr>
          <w:rFonts w:ascii="Tajawal" w:eastAsia="Calibri" w:hAnsi="Tajawal" w:cs="Tajawal"/>
          <w:rtl/>
        </w:rPr>
        <w:t>انتهاء</w:t>
      </w:r>
      <w:r w:rsidRPr="00866F9D">
        <w:rPr>
          <w:rFonts w:ascii="Tajawal" w:eastAsia="Calibri" w:hAnsi="Tajawal" w:cs="Tajawal"/>
          <w:rtl/>
        </w:rPr>
        <w:t xml:space="preserve"> عبارة (أخلى ذاته). </w:t>
      </w:r>
    </w:p>
    <w:p w14:paraId="29380C96" w14:textId="77777777" w:rsidR="00866F9D" w:rsidRPr="00866F9D" w:rsidRDefault="00866F9D" w:rsidP="00866F9D">
      <w:pPr>
        <w:spacing w:after="0" w:line="276" w:lineRule="auto"/>
        <w:rPr>
          <w:rFonts w:ascii="Tajawal" w:eastAsia="Calibri" w:hAnsi="Tajawal" w:cs="Tajawal"/>
          <w:rtl/>
        </w:rPr>
      </w:pPr>
      <w:r w:rsidRPr="00866F9D">
        <w:rPr>
          <w:rFonts w:ascii="Tajawal" w:eastAsia="Calibri" w:hAnsi="Tajawal" w:cs="Tajawal"/>
          <w:rtl/>
        </w:rPr>
        <w:t>فسوف لا نراه فيما بعد في جسد تواضعه، بل في مجده. وحتى هذا الجسد الذي صعد، صعد ممجدًا. ونحن حينما سنقوم على شبه جسد مجده، هذا الذي تحدى كل قوانين الجاذبية الأرضية في صعوده، والذي دخل من الجدران المغلقة، والذي سوف لا نراه إلا في تجليه، في نورانيته وفي روحانيته. وفي مجيئه الثاني سيأتي في مجده، لإنه صعد.</w:t>
      </w:r>
    </w:p>
    <w:p w14:paraId="664799ED" w14:textId="77777777" w:rsidR="00866F9D" w:rsidRPr="00866F9D" w:rsidRDefault="00866F9D" w:rsidP="00866F9D">
      <w:pPr>
        <w:spacing w:after="0" w:line="276" w:lineRule="auto"/>
        <w:rPr>
          <w:rFonts w:ascii="Tajawal" w:eastAsia="Calibri" w:hAnsi="Tajawal" w:cs="Tajawal"/>
          <w:b/>
          <w:bCs/>
          <w:sz w:val="40"/>
          <w:szCs w:val="40"/>
          <w:rtl/>
        </w:rPr>
      </w:pPr>
      <w:r w:rsidRPr="00866F9D">
        <w:rPr>
          <w:rFonts w:ascii="Tajawal" w:eastAsia="Calibri" w:hAnsi="Tajawal" w:cs="Tajawal"/>
          <w:b/>
          <w:bCs/>
          <w:sz w:val="40"/>
          <w:szCs w:val="40"/>
          <w:rtl/>
        </w:rPr>
        <w:t xml:space="preserve">وجلس عن يمين أبيه: </w:t>
      </w:r>
    </w:p>
    <w:p w14:paraId="63E90538" w14:textId="35F8012C" w:rsidR="00866F9D" w:rsidRPr="00866F9D" w:rsidRDefault="00866F9D" w:rsidP="00866F9D">
      <w:pPr>
        <w:spacing w:after="0" w:line="276" w:lineRule="auto"/>
        <w:rPr>
          <w:rFonts w:ascii="Tajawal" w:eastAsia="Calibri" w:hAnsi="Tajawal" w:cs="Tajawal"/>
          <w:rtl/>
        </w:rPr>
      </w:pPr>
      <w:r w:rsidRPr="00866F9D">
        <w:rPr>
          <w:rFonts w:ascii="Tajawal" w:eastAsia="Calibri" w:hAnsi="Tajawal" w:cs="Tajawal"/>
          <w:rtl/>
        </w:rPr>
        <w:t xml:space="preserve">لعل هذه العبارة أخذت من رؤيا القديس </w:t>
      </w:r>
      <w:r w:rsidRPr="00C34CE5">
        <w:rPr>
          <w:rFonts w:ascii="Tajawal" w:eastAsia="Calibri" w:hAnsi="Tajawal" w:cs="Tajawal"/>
          <w:rtl/>
        </w:rPr>
        <w:t>اسطفانوس</w:t>
      </w:r>
      <w:r w:rsidRPr="00866F9D">
        <w:rPr>
          <w:rFonts w:ascii="Tajawal" w:eastAsia="Calibri" w:hAnsi="Tajawal" w:cs="Tajawal"/>
          <w:rtl/>
        </w:rPr>
        <w:t>، إذ قال: "</w:t>
      </w:r>
      <w:r w:rsidRPr="00C34CE5">
        <w:rPr>
          <w:rFonts w:ascii="Tajawal" w:hAnsi="Tajawal" w:cs="Tajawal"/>
          <w:rtl/>
        </w:rPr>
        <w:t xml:space="preserve"> </w:t>
      </w:r>
      <w:r w:rsidRPr="00C34CE5">
        <w:rPr>
          <w:rFonts w:ascii="Tajawal" w:eastAsia="Calibri" w:hAnsi="Tajawal" w:cs="Tajawal"/>
          <w:rtl/>
        </w:rPr>
        <w:t>هَا أَنَا أَنْظُرُ السَّمَاوَاتِ مَفْتُوحَةً، وَابْنَ الإِنْسَانِ قَائِمًا عَنْ يَمِينِ اللهِ</w:t>
      </w:r>
      <w:r w:rsidRPr="00866F9D">
        <w:rPr>
          <w:rFonts w:ascii="Tajawal" w:eastAsia="Calibri" w:hAnsi="Tajawal" w:cs="Tajawal"/>
          <w:rtl/>
        </w:rPr>
        <w:t>" (أع7: 56).</w:t>
      </w:r>
    </w:p>
    <w:p w14:paraId="7D7A134D" w14:textId="77777777" w:rsidR="00866F9D" w:rsidRPr="00866F9D" w:rsidRDefault="00866F9D" w:rsidP="00866F9D">
      <w:pPr>
        <w:spacing w:after="0" w:line="276" w:lineRule="auto"/>
        <w:rPr>
          <w:rFonts w:ascii="Tajawal" w:eastAsia="Calibri" w:hAnsi="Tajawal" w:cs="Tajawal"/>
          <w:rtl/>
        </w:rPr>
      </w:pPr>
      <w:r w:rsidRPr="00866F9D">
        <w:rPr>
          <w:rFonts w:ascii="Tajawal" w:eastAsia="Calibri" w:hAnsi="Tajawal" w:cs="Tajawal"/>
          <w:rtl/>
        </w:rPr>
        <w:t>من الناحية اللاهوتية، الله ليس له يمين ولا شمال، لإنه غير محدود.</w:t>
      </w:r>
    </w:p>
    <w:p w14:paraId="4F4368A2" w14:textId="15DDE7E6" w:rsidR="00866F9D" w:rsidRPr="00866F9D" w:rsidRDefault="00866F9D" w:rsidP="00866F9D">
      <w:pPr>
        <w:spacing w:after="0" w:line="276" w:lineRule="auto"/>
        <w:rPr>
          <w:rFonts w:ascii="Tajawal" w:eastAsia="Calibri" w:hAnsi="Tajawal" w:cs="Tajawal"/>
          <w:rtl/>
        </w:rPr>
      </w:pPr>
      <w:r w:rsidRPr="00866F9D">
        <w:rPr>
          <w:rFonts w:ascii="Tajawal" w:eastAsia="Calibri" w:hAnsi="Tajawal" w:cs="Tajawal"/>
          <w:rtl/>
        </w:rPr>
        <w:t>ولكن كلمة (يمين) ترمز إلى القوة وإلى البر، كما قيل: "</w:t>
      </w:r>
      <w:r w:rsidRPr="00C34CE5">
        <w:rPr>
          <w:rFonts w:ascii="Tajawal" w:hAnsi="Tajawal" w:cs="Tajawal"/>
          <w:rtl/>
        </w:rPr>
        <w:t xml:space="preserve"> </w:t>
      </w:r>
      <w:r w:rsidRPr="00C34CE5">
        <w:rPr>
          <w:rFonts w:ascii="Tajawal" w:eastAsia="Calibri" w:hAnsi="Tajawal" w:cs="Tajawal"/>
          <w:rtl/>
        </w:rPr>
        <w:t>يَمينُ الرَّبِّ صَنَعَتْ قُوَّةً، يَمينُ الرَّبِّ رَفَعَتْن</w:t>
      </w:r>
      <w:r w:rsidRPr="00C34CE5">
        <w:rPr>
          <w:rFonts w:ascii="Tajawal" w:eastAsia="Calibri" w:hAnsi="Tajawal" w:cs="Tajawal"/>
          <w:rtl/>
        </w:rPr>
        <w:t>ي</w:t>
      </w:r>
      <w:r w:rsidRPr="00866F9D">
        <w:rPr>
          <w:rFonts w:ascii="Tajawal" w:eastAsia="Calibri" w:hAnsi="Tajawal" w:cs="Tajawal"/>
          <w:rtl/>
        </w:rPr>
        <w:t xml:space="preserve">" (مز117). </w:t>
      </w:r>
    </w:p>
    <w:p w14:paraId="6811EBD6" w14:textId="77777777" w:rsidR="00866F9D" w:rsidRPr="00866F9D" w:rsidRDefault="00866F9D" w:rsidP="00866F9D">
      <w:pPr>
        <w:spacing w:after="0" w:line="276" w:lineRule="auto"/>
        <w:rPr>
          <w:rFonts w:ascii="Tajawal" w:eastAsia="Calibri" w:hAnsi="Tajawal" w:cs="Tajawal"/>
          <w:rtl/>
        </w:rPr>
      </w:pPr>
      <w:r w:rsidRPr="00866F9D">
        <w:rPr>
          <w:rFonts w:ascii="Tajawal" w:eastAsia="Calibri" w:hAnsi="Tajawal" w:cs="Tajawal"/>
          <w:rtl/>
        </w:rPr>
        <w:lastRenderedPageBreak/>
        <w:t>معنى هذا أن السيد المسيح جلس، أي استقر، في قوة الآب وبره. فلم يعد له ما كان له في إخلاء ذاته من مظهر ضعف، كأن يلطموه أو يبصقوا عليه أو يصلبوه... الخ.</w:t>
      </w:r>
    </w:p>
    <w:p w14:paraId="12915A8B" w14:textId="77777777" w:rsidR="00866F9D" w:rsidRPr="00866F9D" w:rsidRDefault="00866F9D" w:rsidP="00866F9D">
      <w:pPr>
        <w:spacing w:after="0" w:line="276" w:lineRule="auto"/>
        <w:rPr>
          <w:rFonts w:ascii="Tajawal" w:eastAsia="Calibri" w:hAnsi="Tajawal" w:cs="Tajawal"/>
          <w:rtl/>
        </w:rPr>
      </w:pPr>
      <w:r w:rsidRPr="00866F9D">
        <w:rPr>
          <w:rFonts w:ascii="Tajawal" w:eastAsia="Calibri" w:hAnsi="Tajawal" w:cs="Tajawal"/>
          <w:rtl/>
        </w:rPr>
        <w:t>وعبارة (أبيه) هنا تدل على لاهوته كابن الله، بينما ما سبق من عبارات خاصة بآلامه وصلبه تمثل ناسوته كابن الإنسان، هذا الناسوت المتحد باللاهوت بغير افتراق.</w:t>
      </w:r>
    </w:p>
    <w:p w14:paraId="6D4B4C40" w14:textId="77777777" w:rsidR="00866F9D" w:rsidRPr="00866F9D" w:rsidRDefault="00866F9D" w:rsidP="00866F9D">
      <w:pPr>
        <w:spacing w:after="0" w:line="276" w:lineRule="auto"/>
        <w:rPr>
          <w:rFonts w:ascii="Tajawal" w:eastAsia="Calibri" w:hAnsi="Tajawal" w:cs="Tajawal"/>
          <w:b/>
          <w:bCs/>
          <w:sz w:val="40"/>
          <w:szCs w:val="40"/>
          <w:rtl/>
        </w:rPr>
      </w:pPr>
      <w:r w:rsidRPr="00866F9D">
        <w:rPr>
          <w:rFonts w:ascii="Tajawal" w:eastAsia="Calibri" w:hAnsi="Tajawal" w:cs="Tajawal"/>
          <w:b/>
          <w:bCs/>
          <w:sz w:val="40"/>
          <w:szCs w:val="40"/>
          <w:rtl/>
        </w:rPr>
        <w:t xml:space="preserve">هو أيضًا يأتي في مجده: </w:t>
      </w:r>
    </w:p>
    <w:p w14:paraId="7CB93792" w14:textId="60886723" w:rsidR="00866F9D" w:rsidRPr="00866F9D" w:rsidRDefault="00866F9D" w:rsidP="001C5D62">
      <w:pPr>
        <w:spacing w:after="0" w:line="276" w:lineRule="auto"/>
        <w:rPr>
          <w:rFonts w:ascii="Tajawal" w:eastAsia="Calibri" w:hAnsi="Tajawal" w:cs="Tajawal"/>
          <w:rtl/>
        </w:rPr>
      </w:pPr>
      <w:r w:rsidRPr="00866F9D">
        <w:rPr>
          <w:rFonts w:ascii="Tajawal" w:eastAsia="Calibri" w:hAnsi="Tajawal" w:cs="Tajawal"/>
          <w:rtl/>
        </w:rPr>
        <w:t xml:space="preserve"> يتحدث قانون الإيمان هنا عن المجيء الثاني للسيد المسيح. ويذكر أنه يأتي في مجده، كما ورد في (متى25: 31) "</w:t>
      </w:r>
      <w:r w:rsidR="001C5D62" w:rsidRPr="00C34CE5">
        <w:rPr>
          <w:rFonts w:ascii="Tajawal" w:hAnsi="Tajawal" w:cs="Tajawal"/>
          <w:rtl/>
        </w:rPr>
        <w:t xml:space="preserve"> </w:t>
      </w:r>
      <w:r w:rsidR="001C5D62" w:rsidRPr="00C34CE5">
        <w:rPr>
          <w:rFonts w:ascii="Tajawal" w:eastAsia="Calibri" w:hAnsi="Tajawal" w:cs="Tajawal"/>
          <w:rtl/>
        </w:rPr>
        <w:t>وَمَتَى جَاءَ ابْنُ الإِنْسَانِ فِي مَجْدِهِ وَجَمِيعُ الْمَلاَئِكَةِ الْقِدِّيسِينَ مَعَهُ، فَحِينَئِذٍ يَجْلِسُ عَلَى كُرْسِيِّ مَجْدِهِ.</w:t>
      </w:r>
      <w:r w:rsidR="001C5D62" w:rsidRPr="00C34CE5">
        <w:rPr>
          <w:rFonts w:ascii="Tajawal" w:eastAsia="Calibri" w:hAnsi="Tajawal" w:cs="Tajawal"/>
          <w:rtl/>
        </w:rPr>
        <w:t xml:space="preserve"> </w:t>
      </w:r>
      <w:r w:rsidR="001C5D62" w:rsidRPr="00C34CE5">
        <w:rPr>
          <w:rFonts w:ascii="Tajawal" w:eastAsia="Calibri" w:hAnsi="Tajawal" w:cs="Tajawal"/>
          <w:rtl/>
        </w:rPr>
        <w:t>وَيَجْتَمِعُ أَمَامَهُ جَمِيعُ الشُّعُوبِ</w:t>
      </w:r>
      <w:r w:rsidRPr="00866F9D">
        <w:rPr>
          <w:rFonts w:ascii="Tajawal" w:eastAsia="Calibri" w:hAnsi="Tajawal" w:cs="Tajawal"/>
          <w:rtl/>
        </w:rPr>
        <w:t xml:space="preserve">...". </w:t>
      </w:r>
    </w:p>
    <w:p w14:paraId="6895D3D9" w14:textId="27F322A0" w:rsidR="00866F9D" w:rsidRPr="00866F9D" w:rsidRDefault="00866F9D" w:rsidP="00866F9D">
      <w:pPr>
        <w:spacing w:after="0" w:line="276" w:lineRule="auto"/>
        <w:rPr>
          <w:rFonts w:ascii="Tajawal" w:eastAsia="Calibri" w:hAnsi="Tajawal" w:cs="Tajawal"/>
          <w:rtl/>
        </w:rPr>
      </w:pPr>
      <w:r w:rsidRPr="00866F9D">
        <w:rPr>
          <w:rFonts w:ascii="Tajawal" w:eastAsia="Calibri" w:hAnsi="Tajawal" w:cs="Tajawal"/>
          <w:rtl/>
        </w:rPr>
        <w:t>وقيل أيضًا: "</w:t>
      </w:r>
      <w:r w:rsidR="001C5D62" w:rsidRPr="00C34CE5">
        <w:rPr>
          <w:rFonts w:ascii="Tajawal" w:hAnsi="Tajawal" w:cs="Tajawal"/>
          <w:rtl/>
        </w:rPr>
        <w:t xml:space="preserve"> </w:t>
      </w:r>
      <w:r w:rsidR="001C5D62" w:rsidRPr="00C34CE5">
        <w:rPr>
          <w:rFonts w:ascii="Tajawal" w:eastAsia="Calibri" w:hAnsi="Tajawal" w:cs="Tajawal"/>
          <w:rtl/>
        </w:rPr>
        <w:t>وَيُبْصِرُونَ ابْنَ الإِنْسَانِ آتِيًا عَلَى سَحَاب السَّمَاءِ بِقُوَّةٍ وَمَجْدٍ كَثِيرٍ.</w:t>
      </w:r>
      <w:r w:rsidRPr="00866F9D">
        <w:rPr>
          <w:rFonts w:ascii="Tajawal" w:eastAsia="Calibri" w:hAnsi="Tajawal" w:cs="Tajawal"/>
          <w:rtl/>
        </w:rPr>
        <w:t>" (متى24: 30).</w:t>
      </w:r>
    </w:p>
    <w:p w14:paraId="56ED16C1" w14:textId="77777777" w:rsidR="00866F9D" w:rsidRPr="00866F9D" w:rsidRDefault="00866F9D" w:rsidP="00866F9D">
      <w:pPr>
        <w:spacing w:after="0" w:line="276" w:lineRule="auto"/>
        <w:rPr>
          <w:rFonts w:ascii="Tajawal" w:eastAsia="Calibri" w:hAnsi="Tajawal" w:cs="Tajawal"/>
          <w:b/>
          <w:bCs/>
          <w:sz w:val="40"/>
          <w:szCs w:val="40"/>
          <w:rtl/>
        </w:rPr>
      </w:pPr>
      <w:r w:rsidRPr="00866F9D">
        <w:rPr>
          <w:rFonts w:ascii="Tajawal" w:eastAsia="Calibri" w:hAnsi="Tajawal" w:cs="Tajawal"/>
          <w:b/>
          <w:bCs/>
          <w:sz w:val="40"/>
          <w:szCs w:val="40"/>
          <w:rtl/>
        </w:rPr>
        <w:t xml:space="preserve">ليدين الأحياء والأموات: </w:t>
      </w:r>
    </w:p>
    <w:p w14:paraId="608ECBAB" w14:textId="77777777" w:rsidR="00866F9D" w:rsidRPr="00866F9D" w:rsidRDefault="00866F9D" w:rsidP="00866F9D">
      <w:pPr>
        <w:spacing w:after="0" w:line="276" w:lineRule="auto"/>
        <w:rPr>
          <w:rFonts w:ascii="Tajawal" w:eastAsia="Calibri" w:hAnsi="Tajawal" w:cs="Tajawal"/>
          <w:rtl/>
        </w:rPr>
      </w:pPr>
      <w:r w:rsidRPr="00866F9D">
        <w:rPr>
          <w:rFonts w:ascii="Tajawal" w:eastAsia="Calibri" w:hAnsi="Tajawal" w:cs="Tajawal"/>
          <w:rtl/>
        </w:rPr>
        <w:t xml:space="preserve">هذا يعني أن مجيئه للدينونة، وليس ليحكم ألف سنة على الأرض كما تعتقد بعض الطوائف. </w:t>
      </w:r>
    </w:p>
    <w:p w14:paraId="61284BFD" w14:textId="48D48BCB" w:rsidR="00866F9D" w:rsidRPr="00866F9D" w:rsidRDefault="00866F9D" w:rsidP="001C5D62">
      <w:pPr>
        <w:spacing w:after="0" w:line="276" w:lineRule="auto"/>
        <w:rPr>
          <w:rFonts w:ascii="Tajawal" w:eastAsia="Calibri" w:hAnsi="Tajawal" w:cs="Tajawal"/>
          <w:rtl/>
        </w:rPr>
      </w:pPr>
      <w:r w:rsidRPr="00866F9D">
        <w:rPr>
          <w:rFonts w:ascii="Tajawal" w:eastAsia="Calibri" w:hAnsi="Tajawal" w:cs="Tajawal"/>
          <w:rtl/>
        </w:rPr>
        <w:t>وواضح أن مجيئه للدينونة كما ورد في (متى24: 31). "</w:t>
      </w:r>
      <w:r w:rsidR="001C5D62" w:rsidRPr="00C34CE5">
        <w:rPr>
          <w:rFonts w:ascii="Tajawal" w:hAnsi="Tajawal" w:cs="Tajawal"/>
          <w:rtl/>
        </w:rPr>
        <w:t xml:space="preserve"> </w:t>
      </w:r>
      <w:r w:rsidR="001C5D62" w:rsidRPr="00C34CE5">
        <w:rPr>
          <w:rFonts w:ascii="Tajawal" w:eastAsia="Calibri" w:hAnsi="Tajawal" w:cs="Tajawal"/>
          <w:rtl/>
        </w:rPr>
        <w:t>فَيُرْسِلُ مَلاَئِكَتَهُ بِبُوق عَظِيمِ الصَّوْتِ، فَيَجْمَعُونَ مُخْتَارِيهِ مِنَ الأَرْبَعِ الرِّيَاحِ، مِنْ أَقْصَاءِ السَّمَاوَاتِ إِلَى أَقْصَائِهَا</w:t>
      </w:r>
      <w:r w:rsidRPr="00866F9D">
        <w:rPr>
          <w:rFonts w:ascii="Tajawal" w:eastAsia="Calibri" w:hAnsi="Tajawal" w:cs="Tajawal"/>
          <w:rtl/>
        </w:rPr>
        <w:t>". ونفس الوضع كما ورد في (متى13: 40و41) "</w:t>
      </w:r>
      <w:r w:rsidR="001C5D62" w:rsidRPr="00C34CE5">
        <w:rPr>
          <w:rFonts w:ascii="Tajawal" w:hAnsi="Tajawal" w:cs="Tajawal"/>
          <w:rtl/>
        </w:rPr>
        <w:t xml:space="preserve"> </w:t>
      </w:r>
      <w:r w:rsidR="001C5D62" w:rsidRPr="00C34CE5">
        <w:rPr>
          <w:rFonts w:ascii="Tajawal" w:eastAsia="Calibri" w:hAnsi="Tajawal" w:cs="Tajawal"/>
          <w:rtl/>
        </w:rPr>
        <w:t>هكَذَا يَكُونُ فِي انْقِضَاءِ هذَا الْعَالَمِ:</w:t>
      </w:r>
      <w:r w:rsidR="001C5D62" w:rsidRPr="00C34CE5">
        <w:rPr>
          <w:rFonts w:ascii="Tajawal" w:eastAsia="Calibri" w:hAnsi="Tajawal" w:cs="Tajawal"/>
          <w:rtl/>
        </w:rPr>
        <w:t xml:space="preserve"> </w:t>
      </w:r>
      <w:r w:rsidR="001C5D62" w:rsidRPr="00C34CE5">
        <w:rPr>
          <w:rFonts w:ascii="Tajawal" w:eastAsia="Calibri" w:hAnsi="Tajawal" w:cs="Tajawal"/>
          <w:rtl/>
        </w:rPr>
        <w:t>يُرْسِلُ ابْنُ الإِنْسَانِ مَلاَئِكَتَهُ فَيَجْمَعُونَ مِنْ مَلَكُوتِهِ جَمِيعَ الْمَعَاثِرِ وَفَاعِلِي الإِثْمِ</w:t>
      </w:r>
      <w:r w:rsidRPr="00866F9D">
        <w:rPr>
          <w:rFonts w:ascii="Tajawal" w:eastAsia="Calibri" w:hAnsi="Tajawal" w:cs="Tajawal"/>
          <w:rtl/>
        </w:rPr>
        <w:t>...". وفي (متى 25: 31- 46</w:t>
      </w:r>
      <w:r w:rsidR="001C5D62" w:rsidRPr="00C34CE5">
        <w:rPr>
          <w:rFonts w:ascii="Tajawal" w:eastAsia="Calibri" w:hAnsi="Tajawal" w:cs="Tajawal"/>
          <w:rtl/>
        </w:rPr>
        <w:t>) تفاصيل</w:t>
      </w:r>
      <w:r w:rsidRPr="00866F9D">
        <w:rPr>
          <w:rFonts w:ascii="Tajawal" w:eastAsia="Calibri" w:hAnsi="Tajawal" w:cs="Tajawal"/>
          <w:rtl/>
        </w:rPr>
        <w:t xml:space="preserve"> كثيرة عن الدينونة التي يقوم بها الرب في مجيئه الثاني، تختتم بعبارة: "</w:t>
      </w:r>
      <w:r w:rsidR="001C5D62" w:rsidRPr="00C34CE5">
        <w:rPr>
          <w:rFonts w:ascii="Tajawal" w:hAnsi="Tajawal" w:cs="Tajawal"/>
          <w:rtl/>
        </w:rPr>
        <w:t xml:space="preserve"> </w:t>
      </w:r>
      <w:r w:rsidR="001C5D62" w:rsidRPr="00C34CE5">
        <w:rPr>
          <w:rFonts w:ascii="Tajawal" w:eastAsia="Calibri" w:hAnsi="Tajawal" w:cs="Tajawal"/>
          <w:rtl/>
        </w:rPr>
        <w:t>فَيَمْضِي هؤُلاَءِ إِلَى عَذَابٍ أَبَدِيٍّ وَالأَبْرَارُ إِلَى حَيَاةٍ أَبَدِيَّةٍ</w:t>
      </w:r>
      <w:r w:rsidRPr="00866F9D">
        <w:rPr>
          <w:rFonts w:ascii="Tajawal" w:eastAsia="Calibri" w:hAnsi="Tajawal" w:cs="Tajawal"/>
          <w:rtl/>
        </w:rPr>
        <w:t xml:space="preserve">". </w:t>
      </w:r>
    </w:p>
    <w:p w14:paraId="68F01BE8" w14:textId="5D73E65A" w:rsidR="00866F9D" w:rsidRPr="00866F9D" w:rsidRDefault="00866F9D" w:rsidP="00A84ADF">
      <w:pPr>
        <w:spacing w:after="0" w:line="276" w:lineRule="auto"/>
        <w:rPr>
          <w:rFonts w:ascii="Tajawal" w:eastAsia="Calibri" w:hAnsi="Tajawal" w:cs="Tajawal"/>
        </w:rPr>
      </w:pPr>
      <w:r w:rsidRPr="00866F9D">
        <w:rPr>
          <w:rFonts w:ascii="Tajawal" w:eastAsia="Calibri" w:hAnsi="Tajawal" w:cs="Tajawal"/>
          <w:rtl/>
        </w:rPr>
        <w:t>وفي (يو5: 28 و29) "</w:t>
      </w:r>
      <w:r w:rsidR="00A84ADF" w:rsidRPr="00C34CE5">
        <w:rPr>
          <w:rFonts w:ascii="Tajawal" w:hAnsi="Tajawal" w:cs="Tajawal"/>
          <w:rtl/>
        </w:rPr>
        <w:t xml:space="preserve"> </w:t>
      </w:r>
      <w:r w:rsidR="00A84ADF" w:rsidRPr="00C34CE5">
        <w:rPr>
          <w:rFonts w:ascii="Tajawal" w:eastAsia="Calibri" w:hAnsi="Tajawal" w:cs="Tajawal"/>
          <w:rtl/>
        </w:rPr>
        <w:t>يَسْمَعُ جَمِيعُ الَّذِينَ فِي الْقُبُورِ صَوْتَهُ،</w:t>
      </w:r>
      <w:r w:rsidR="00A84ADF" w:rsidRPr="00C34CE5">
        <w:rPr>
          <w:rFonts w:ascii="Tajawal" w:eastAsia="Calibri" w:hAnsi="Tajawal" w:cs="Tajawal"/>
          <w:rtl/>
        </w:rPr>
        <w:t xml:space="preserve"> </w:t>
      </w:r>
      <w:r w:rsidR="00A84ADF" w:rsidRPr="00C34CE5">
        <w:rPr>
          <w:rFonts w:ascii="Tajawal" w:eastAsia="Calibri" w:hAnsi="Tajawal" w:cs="Tajawal"/>
          <w:rtl/>
        </w:rPr>
        <w:t xml:space="preserve">فَيَخْرُجُ الَّذِينَ فَعَلُوا الصَّالِحَاتِ إِلَى قِيَامَةِ الْحَيَاةِ، وَالَّذِينَ عَمِلُوا السَّيِّئَاتِ إِلَى قِيَامَةِ </w:t>
      </w:r>
      <w:r w:rsidR="00A84ADF" w:rsidRPr="00C34CE5">
        <w:rPr>
          <w:rFonts w:ascii="Tajawal" w:eastAsia="Calibri" w:hAnsi="Tajawal" w:cs="Tajawal"/>
          <w:rtl/>
        </w:rPr>
        <w:lastRenderedPageBreak/>
        <w:t>الدَّيْنُونَةِ</w:t>
      </w:r>
      <w:r w:rsidRPr="00866F9D">
        <w:rPr>
          <w:rFonts w:ascii="Tajawal" w:eastAsia="Calibri" w:hAnsi="Tajawal" w:cs="Tajawal"/>
          <w:rtl/>
        </w:rPr>
        <w:t>". وواضح أيضًا أن المجيء الثاني للدينونة من قول الرب في سفر الرؤيا: "</w:t>
      </w:r>
      <w:r w:rsidR="00A84ADF" w:rsidRPr="00C34CE5">
        <w:rPr>
          <w:rFonts w:ascii="Tajawal" w:hAnsi="Tajawal" w:cs="Tajawal"/>
          <w:rtl/>
        </w:rPr>
        <w:t xml:space="preserve"> </w:t>
      </w:r>
      <w:r w:rsidR="00A84ADF" w:rsidRPr="00C34CE5">
        <w:rPr>
          <w:rFonts w:ascii="Tajawal" w:eastAsia="Calibri" w:hAnsi="Tajawal" w:cs="Tajawal"/>
          <w:rtl/>
        </w:rPr>
        <w:t>هَا أَنَا آتِي سَرِيعًا وَأُجْرَتِي مَعِي لأُجَازِيَ كُلَّ وَاحِدٍ كَمَا يَكُونُ عَمَلُهُ</w:t>
      </w:r>
      <w:r w:rsidRPr="00866F9D">
        <w:rPr>
          <w:rFonts w:ascii="Tajawal" w:eastAsia="Calibri" w:hAnsi="Tajawal" w:cs="Tajawal"/>
          <w:rtl/>
        </w:rPr>
        <w:t>" (رؤ22: 12).</w:t>
      </w:r>
    </w:p>
    <w:sectPr w:rsidR="00866F9D" w:rsidRPr="00866F9D" w:rsidSect="00140B87">
      <w:headerReference w:type="default" r:id="rId7"/>
      <w:footerReference w:type="default" r:id="rId8"/>
      <w:pgSz w:w="11906" w:h="16838" w:code="9"/>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57F6D" w14:textId="77777777" w:rsidR="00EF6988" w:rsidRDefault="00EF6988" w:rsidP="00C44C89">
      <w:r>
        <w:separator/>
      </w:r>
    </w:p>
  </w:endnote>
  <w:endnote w:type="continuationSeparator" w:id="0">
    <w:p w14:paraId="669658DD" w14:textId="77777777" w:rsidR="00EF6988" w:rsidRDefault="00EF6988" w:rsidP="00C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tl/>
      </w:rPr>
      <w:id w:val="-1102877467"/>
      <w:docPartObj>
        <w:docPartGallery w:val="Page Numbers (Bottom of Page)"/>
        <w:docPartUnique/>
      </w:docPartObj>
    </w:sdtPr>
    <w:sdtEndPr>
      <w:rPr>
        <w:noProof/>
      </w:rPr>
    </w:sdtEndPr>
    <w:sdtContent>
      <w:p w14:paraId="74099B80" w14:textId="158F0997" w:rsidR="00140B87" w:rsidRPr="00396DB9" w:rsidRDefault="00140B87" w:rsidP="0071737F">
        <w:pPr>
          <w:pStyle w:val="Footer"/>
          <w:jc w:val="center"/>
          <w:rPr>
            <w:sz w:val="24"/>
            <w:szCs w:val="24"/>
          </w:rPr>
        </w:pPr>
        <w:r w:rsidRPr="00396DB9">
          <w:rPr>
            <w:sz w:val="24"/>
            <w:szCs w:val="24"/>
          </w:rPr>
          <w:fldChar w:fldCharType="begin"/>
        </w:r>
        <w:r w:rsidRPr="00396DB9">
          <w:rPr>
            <w:sz w:val="24"/>
            <w:szCs w:val="24"/>
          </w:rPr>
          <w:instrText xml:space="preserve"> PAGE   \* MERGEFORMAT </w:instrText>
        </w:r>
        <w:r w:rsidRPr="00396DB9">
          <w:rPr>
            <w:sz w:val="24"/>
            <w:szCs w:val="24"/>
          </w:rPr>
          <w:fldChar w:fldCharType="separate"/>
        </w:r>
        <w:r w:rsidRPr="00396DB9">
          <w:rPr>
            <w:noProof/>
            <w:sz w:val="24"/>
            <w:szCs w:val="24"/>
          </w:rPr>
          <w:t>2</w:t>
        </w:r>
        <w:r w:rsidRPr="00396DB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33F0E" w14:textId="77777777" w:rsidR="00EF6988" w:rsidRDefault="00EF6988" w:rsidP="00C44C89">
      <w:r>
        <w:separator/>
      </w:r>
    </w:p>
  </w:footnote>
  <w:footnote w:type="continuationSeparator" w:id="0">
    <w:p w14:paraId="13D2EDB8" w14:textId="77777777" w:rsidR="00EF6988" w:rsidRDefault="00EF6988" w:rsidP="00C44C89">
      <w:r>
        <w:continuationSeparator/>
      </w:r>
    </w:p>
  </w:footnote>
  <w:footnote w:id="1">
    <w:p w14:paraId="7B8D207C" w14:textId="29A4C415" w:rsidR="00C34CE5" w:rsidRPr="00C34CE5" w:rsidRDefault="00C34CE5" w:rsidP="00C34CE5">
      <w:pPr>
        <w:pStyle w:val="FootnoteText"/>
        <w:rPr>
          <w:rFonts w:hint="cs"/>
        </w:rPr>
      </w:pPr>
      <w:r>
        <w:rPr>
          <w:rStyle w:val="FootnoteReference"/>
        </w:rPr>
        <w:footnoteRef/>
      </w:r>
      <w:r>
        <w:rPr>
          <w:rtl/>
        </w:rPr>
        <w:t xml:space="preserve"> </w:t>
      </w:r>
      <w:r w:rsidRPr="00EA197D">
        <w:rPr>
          <w:rtl/>
        </w:rPr>
        <w:t xml:space="preserve">مقال لقداسة البابا شنوده الثالث – بمجلة الكرازة – السنة </w:t>
      </w:r>
      <w:r>
        <w:rPr>
          <w:rFonts w:hint="cs"/>
          <w:rtl/>
        </w:rPr>
        <w:t>الثانية</w:t>
      </w:r>
      <w:r w:rsidRPr="00EA197D">
        <w:rPr>
          <w:rtl/>
        </w:rPr>
        <w:t xml:space="preserve"> عشرة – العدد</w:t>
      </w:r>
      <w:r>
        <w:rPr>
          <w:rFonts w:hint="cs"/>
          <w:rtl/>
        </w:rPr>
        <w:t xml:space="preserve"> </w:t>
      </w:r>
      <w:r>
        <w:rPr>
          <w:rFonts w:hint="cs"/>
          <w:rtl/>
        </w:rPr>
        <w:t>الثالث</w:t>
      </w:r>
      <w:r>
        <w:rPr>
          <w:rFonts w:hint="cs"/>
          <w:rtl/>
        </w:rPr>
        <w:t xml:space="preserve"> </w:t>
      </w:r>
      <w:r>
        <w:rPr>
          <w:rFonts w:hint="cs"/>
          <w:rtl/>
        </w:rPr>
        <w:t>16</w:t>
      </w:r>
      <w:r>
        <w:rPr>
          <w:rFonts w:hint="cs"/>
          <w:rtl/>
        </w:rPr>
        <w:t>-1-1981م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C44C89">
    <w:pPr>
      <w:pStyle w:val="Header"/>
    </w:pPr>
    <w:r>
      <w:rPr>
        <w:rFonts w:hint="cs"/>
        <w:noProof/>
        <w:rtl/>
        <w:lang w:val="ar-EG"/>
      </w:rPr>
      <w:drawing>
        <wp:anchor distT="0" distB="0" distL="114300" distR="114300" simplePos="0" relativeHeight="251659264" behindDoc="1" locked="0" layoutInCell="1" allowOverlap="1" wp14:anchorId="049E40DF" wp14:editId="462B4C21">
          <wp:simplePos x="0" y="0"/>
          <wp:positionH relativeFrom="column">
            <wp:posOffset>5182235</wp:posOffset>
          </wp:positionH>
          <wp:positionV relativeFrom="paragraph">
            <wp:posOffset>0</wp:posOffset>
          </wp:positionV>
          <wp:extent cx="761406" cy="8286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406"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2736"/>
    <w:rsid w:val="00052129"/>
    <w:rsid w:val="00107951"/>
    <w:rsid w:val="00133F14"/>
    <w:rsid w:val="00140B87"/>
    <w:rsid w:val="00170AC4"/>
    <w:rsid w:val="001C5D62"/>
    <w:rsid w:val="00234C3E"/>
    <w:rsid w:val="002E5A6A"/>
    <w:rsid w:val="0036709E"/>
    <w:rsid w:val="0038482E"/>
    <w:rsid w:val="00396DB9"/>
    <w:rsid w:val="00456803"/>
    <w:rsid w:val="004C7D3A"/>
    <w:rsid w:val="006234B6"/>
    <w:rsid w:val="006252F8"/>
    <w:rsid w:val="0071737F"/>
    <w:rsid w:val="007F44A5"/>
    <w:rsid w:val="00866F9D"/>
    <w:rsid w:val="009E4EF4"/>
    <w:rsid w:val="009E79E2"/>
    <w:rsid w:val="00A4308D"/>
    <w:rsid w:val="00A84ADF"/>
    <w:rsid w:val="00AD2D0A"/>
    <w:rsid w:val="00C1564B"/>
    <w:rsid w:val="00C34CE5"/>
    <w:rsid w:val="00C37132"/>
    <w:rsid w:val="00C44C89"/>
    <w:rsid w:val="00CD218A"/>
    <w:rsid w:val="00D9610A"/>
    <w:rsid w:val="00DF30C4"/>
    <w:rsid w:val="00E060A7"/>
    <w:rsid w:val="00E51A9F"/>
    <w:rsid w:val="00E51CCE"/>
    <w:rsid w:val="00EF6988"/>
    <w:rsid w:val="00F00CD4"/>
    <w:rsid w:val="00FD0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89"/>
    <w:pPr>
      <w:bidi/>
      <w:jc w:val="lowKashida"/>
    </w:pPr>
    <w:rPr>
      <w:rFonts w:ascii="Simplified Arabic" w:hAnsi="Simplified Arabic" w:cs="Simplified Arabic"/>
      <w:sz w:val="32"/>
      <w:szCs w:val="3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5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A9F"/>
    <w:rPr>
      <w:rFonts w:ascii="Simplified Arabic" w:hAnsi="Simplified Arabic" w:cs="Simplified Arabic"/>
      <w:sz w:val="20"/>
      <w:szCs w:val="20"/>
      <w:lang w:bidi="ar-EG"/>
    </w:rPr>
  </w:style>
  <w:style w:type="character" w:styleId="FootnoteReference">
    <w:name w:val="footnote reference"/>
    <w:basedOn w:val="DefaultParagraphFont"/>
    <w:uiPriority w:val="99"/>
    <w:semiHidden/>
    <w:unhideWhenUsed/>
    <w:rsid w:val="00E51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4A52-1E3D-475B-8BB8-A2D9470C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31</cp:revision>
  <dcterms:created xsi:type="dcterms:W3CDTF">2024-09-26T11:03:00Z</dcterms:created>
  <dcterms:modified xsi:type="dcterms:W3CDTF">2024-12-16T09:27:00Z</dcterms:modified>
</cp:coreProperties>
</file>