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2E47F" w14:textId="6A48B975" w:rsidR="00952661" w:rsidRPr="00EC4DC7" w:rsidRDefault="00FB67D7" w:rsidP="00EC4DC7">
      <w:pPr>
        <w:bidi/>
        <w:spacing w:after="0" w:line="240" w:lineRule="auto"/>
        <w:ind w:left="42"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</w:pPr>
      <w:r w:rsidRPr="00EC4DC7">
        <w:rPr>
          <w:rFonts w:ascii="Simplified Arabic" w:hAnsi="Simplified Arabic" w:cs="Simplified Arabic" w:hint="cs"/>
          <w:b/>
          <w:bCs/>
          <w:sz w:val="36"/>
          <w:szCs w:val="36"/>
          <w:rtl/>
          <w:lang w:bidi="ar-EG"/>
        </w:rPr>
        <w:t>ليس طرفًا في خصومة</w:t>
      </w:r>
      <w:r w:rsidR="00EC4DC7">
        <w:rPr>
          <w:rStyle w:val="FootnoteReference"/>
          <w:rFonts w:ascii="Simplified Arabic" w:hAnsi="Simplified Arabic" w:cs="Simplified Arabic"/>
          <w:b/>
          <w:bCs/>
          <w:sz w:val="36"/>
          <w:szCs w:val="36"/>
          <w:rtl/>
          <w:lang w:bidi="ar-EG"/>
        </w:rPr>
        <w:footnoteReference w:id="1"/>
      </w:r>
    </w:p>
    <w:p w14:paraId="7694A69D" w14:textId="77777777" w:rsidR="00FB67D7" w:rsidRDefault="00FB67D7" w:rsidP="00EC4DC7">
      <w:pPr>
        <w:bidi/>
        <w:spacing w:after="0" w:line="240" w:lineRule="auto"/>
        <w:ind w:left="42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FB67D7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لا يجوز للأب الكاهن أن يصبر طرفًا في خصومة.</w:t>
      </w:r>
    </w:p>
    <w:p w14:paraId="3FC8C401" w14:textId="77777777" w:rsidR="00FB67D7" w:rsidRDefault="00FB67D7" w:rsidP="00EC4DC7">
      <w:pPr>
        <w:bidi/>
        <w:spacing w:after="0" w:line="240" w:lineRule="auto"/>
        <w:ind w:left="42"/>
        <w:jc w:val="both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فإذا تدخل في نزاع بين طرفين يجب أن يلاحظ الجميع حياده، وحقانيته، بأن يعطي </w:t>
      </w:r>
      <w:r w:rsidR="00741B37">
        <w:rPr>
          <w:rFonts w:ascii="Simplified Arabic" w:hAnsi="Simplified Arabic" w:cs="Simplified Arabic" w:hint="cs"/>
          <w:sz w:val="32"/>
          <w:szCs w:val="32"/>
          <w:rtl/>
          <w:lang w:bidi="ar-EG"/>
        </w:rPr>
        <w:t>لكل ذي حق حقه. ولا يجوز أن ينحاز إلى طرف معين، ويقف كخصم من الطرف ال</w:t>
      </w:r>
      <w:r w:rsidR="00625D1D">
        <w:rPr>
          <w:rFonts w:ascii="Simplified Arabic" w:hAnsi="Simplified Arabic" w:cs="Simplified Arabic" w:hint="cs"/>
          <w:sz w:val="32"/>
          <w:szCs w:val="32"/>
          <w:rtl/>
          <w:lang w:bidi="ar-EG"/>
        </w:rPr>
        <w:t>آ</w:t>
      </w:r>
      <w:r w:rsidR="00741B37">
        <w:rPr>
          <w:rFonts w:ascii="Simplified Arabic" w:hAnsi="Simplified Arabic" w:cs="Simplified Arabic" w:hint="cs"/>
          <w:sz w:val="32"/>
          <w:szCs w:val="32"/>
          <w:rtl/>
          <w:lang w:bidi="ar-EG"/>
        </w:rPr>
        <w:t>خر.</w:t>
      </w:r>
    </w:p>
    <w:p w14:paraId="141434A8" w14:textId="23C10510" w:rsidR="00741B37" w:rsidRDefault="006D2138" w:rsidP="00EC4DC7">
      <w:pPr>
        <w:bidi/>
        <w:spacing w:after="0" w:line="240" w:lineRule="auto"/>
        <w:ind w:left="42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يجب أن يشعر الكل بأنهم أولاده، وب</w:t>
      </w:r>
      <w:r w:rsidR="00237A38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أ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نه يحبهم كلهم.</w:t>
      </w:r>
    </w:p>
    <w:p w14:paraId="6634BFC9" w14:textId="3EEC09AF" w:rsidR="006D2138" w:rsidRDefault="006D2138" w:rsidP="00EC4DC7">
      <w:pPr>
        <w:bidi/>
        <w:spacing w:after="0" w:line="240" w:lineRule="auto"/>
        <w:ind w:left="42"/>
        <w:jc w:val="both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وبالذات فليكن حريصًا جدًا في قضايا ال</w:t>
      </w:r>
      <w:r w:rsidR="00237A38">
        <w:rPr>
          <w:rFonts w:ascii="Simplified Arabic" w:hAnsi="Simplified Arabic" w:cs="Simplified Arabic" w:hint="cs"/>
          <w:sz w:val="32"/>
          <w:szCs w:val="32"/>
          <w:rtl/>
          <w:lang w:bidi="ar-EG"/>
        </w:rPr>
        <w:t>أ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 xml:space="preserve">حوال الشخصية، وفي مسائل المشاكل الزوجية... ولا يصح أن يقدم إلى المحكمة شهادة تضيع مستقبل </w:t>
      </w:r>
      <w:r w:rsidR="006102C4">
        <w:rPr>
          <w:rFonts w:ascii="Simplified Arabic" w:hAnsi="Simplified Arabic" w:cs="Simplified Arabic" w:hint="cs"/>
          <w:sz w:val="32"/>
          <w:szCs w:val="32"/>
          <w:rtl/>
          <w:lang w:bidi="ar-EG"/>
        </w:rPr>
        <w:t>أو حقوق أحد الطرفين، فيشعر أن الكنيسة قد أساءت إليه، وسببت له أضرارًا.</w:t>
      </w:r>
    </w:p>
    <w:p w14:paraId="10AE690D" w14:textId="77777777" w:rsidR="006102C4" w:rsidRDefault="00B31424" w:rsidP="00EC4DC7">
      <w:pPr>
        <w:bidi/>
        <w:spacing w:after="0" w:line="240" w:lineRule="auto"/>
        <w:ind w:left="42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لأنه بهذا الشكل يتحول الكاهن إلى خصم، لا أب!</w:t>
      </w:r>
    </w:p>
    <w:p w14:paraId="0E00C1D6" w14:textId="77777777" w:rsidR="00B31424" w:rsidRDefault="00B31424" w:rsidP="00EC4DC7">
      <w:pPr>
        <w:bidi/>
        <w:spacing w:after="0" w:line="240" w:lineRule="auto"/>
        <w:ind w:left="42"/>
        <w:jc w:val="both"/>
        <w:rPr>
          <w:rFonts w:ascii="Simplified Arabic" w:hAnsi="Simplified Arabic" w:cs="Simplified Arabic"/>
          <w:sz w:val="32"/>
          <w:szCs w:val="32"/>
          <w:rtl/>
          <w:lang w:bidi="ar-EG"/>
        </w:rPr>
      </w:pPr>
      <w:r w:rsidRPr="00B31424">
        <w:rPr>
          <w:rFonts w:ascii="Simplified Arabic" w:hAnsi="Simplified Arabic" w:cs="Simplified Arabic" w:hint="cs"/>
          <w:sz w:val="32"/>
          <w:szCs w:val="32"/>
          <w:rtl/>
          <w:lang w:bidi="ar-EG"/>
        </w:rPr>
        <w:t>وقد يفقد بهذا التصرف، وليس شخصًا فقط، وإنما ربما أسرة كاملة</w:t>
      </w: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، بل أصحابها ومعارفها...</w:t>
      </w:r>
    </w:p>
    <w:p w14:paraId="4E18E55D" w14:textId="77777777" w:rsidR="00B31424" w:rsidRPr="00B31424" w:rsidRDefault="00B31424" w:rsidP="00EC4DC7">
      <w:pPr>
        <w:bidi/>
        <w:spacing w:after="0" w:line="240" w:lineRule="auto"/>
        <w:ind w:left="42"/>
        <w:jc w:val="both"/>
        <w:rPr>
          <w:rFonts w:ascii="Simplified Arabic" w:hAnsi="Simplified Arabic" w:cs="Simplified Arabic"/>
          <w:sz w:val="32"/>
          <w:szCs w:val="32"/>
          <w:rtl/>
          <w:lang w:bidi="ar-EG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EG"/>
        </w:rPr>
        <w:t>على الكاهن أن يشهد للحق، وأن يوبخ أحيانًا. ولكن لا يصح مطلقًا أن يأخذ موقفًا عدائيًا من أحد أولاده، بكل ما لهذا الموقف من نتائج...</w:t>
      </w:r>
    </w:p>
    <w:sectPr w:rsidR="00B31424" w:rsidRPr="00B31424" w:rsidSect="00D83E5F">
      <w:headerReference w:type="default" r:id="rId7"/>
      <w:pgSz w:w="12240" w:h="15840"/>
      <w:pgMar w:top="1440" w:right="900" w:bottom="1440" w:left="1134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DBD23" w14:textId="77777777" w:rsidR="00EC4DC7" w:rsidRDefault="00EC4DC7" w:rsidP="00EC4DC7">
      <w:pPr>
        <w:spacing w:after="0" w:line="240" w:lineRule="auto"/>
      </w:pPr>
      <w:r>
        <w:separator/>
      </w:r>
    </w:p>
  </w:endnote>
  <w:endnote w:type="continuationSeparator" w:id="0">
    <w:p w14:paraId="7CF9BDE0" w14:textId="77777777" w:rsidR="00EC4DC7" w:rsidRDefault="00EC4DC7" w:rsidP="00EC4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7F1FC" w14:textId="77777777" w:rsidR="00EC4DC7" w:rsidRDefault="00EC4DC7" w:rsidP="00EC4DC7">
      <w:pPr>
        <w:bidi/>
        <w:spacing w:after="0" w:line="240" w:lineRule="auto"/>
      </w:pPr>
      <w:r>
        <w:separator/>
      </w:r>
    </w:p>
  </w:footnote>
  <w:footnote w:type="continuationSeparator" w:id="0">
    <w:p w14:paraId="1DF79677" w14:textId="77777777" w:rsidR="00EC4DC7" w:rsidRDefault="00EC4DC7" w:rsidP="00EC4DC7">
      <w:pPr>
        <w:spacing w:after="0" w:line="240" w:lineRule="auto"/>
      </w:pPr>
      <w:r>
        <w:continuationSeparator/>
      </w:r>
    </w:p>
  </w:footnote>
  <w:footnote w:id="1">
    <w:p w14:paraId="02FF9E9D" w14:textId="206E8B73" w:rsidR="00EC4DC7" w:rsidRPr="00EC4DC7" w:rsidRDefault="00EC4DC7" w:rsidP="00EC4DC7">
      <w:pPr>
        <w:bidi/>
        <w:ind w:left="42"/>
        <w:jc w:val="both"/>
        <w:rPr>
          <w:rFonts w:ascii="Simplified Arabic" w:hAnsi="Simplified Arabic" w:cs="Simplified Arabic"/>
          <w:rtl/>
          <w:lang w:bidi="ar-EG"/>
        </w:rPr>
      </w:pPr>
      <w:r>
        <w:rPr>
          <w:rStyle w:val="FootnoteReference"/>
        </w:rPr>
        <w:footnoteRef/>
      </w:r>
      <w:r>
        <w:t xml:space="preserve"> </w:t>
      </w:r>
      <w:r w:rsidRPr="00EC4DC7">
        <w:rPr>
          <w:rFonts w:ascii="Simplified Arabic" w:hAnsi="Simplified Arabic" w:cs="Simplified Arabic" w:hint="cs"/>
          <w:rtl/>
          <w:lang w:bidi="ar-EG"/>
        </w:rPr>
        <w:t xml:space="preserve">مقال لقداسة البابا </w:t>
      </w:r>
      <w:proofErr w:type="spellStart"/>
      <w:r w:rsidRPr="00EC4DC7">
        <w:rPr>
          <w:rFonts w:ascii="Simplified Arabic" w:hAnsi="Simplified Arabic" w:cs="Simplified Arabic" w:hint="cs"/>
          <w:rtl/>
          <w:lang w:bidi="ar-EG"/>
        </w:rPr>
        <w:t>شنوده</w:t>
      </w:r>
      <w:proofErr w:type="spellEnd"/>
      <w:r w:rsidRPr="00EC4DC7">
        <w:rPr>
          <w:rFonts w:ascii="Simplified Arabic" w:hAnsi="Simplified Arabic" w:cs="Simplified Arabic" w:hint="cs"/>
          <w:rtl/>
          <w:lang w:bidi="ar-EG"/>
        </w:rPr>
        <w:t xml:space="preserve"> الثالث "صفحة الآباء الكهنة </w:t>
      </w:r>
      <w:r w:rsidRPr="00EC4DC7">
        <w:rPr>
          <w:rFonts w:ascii="Simplified Arabic" w:hAnsi="Simplified Arabic" w:cs="Simplified Arabic"/>
          <w:rtl/>
          <w:lang w:bidi="ar-EG"/>
        </w:rPr>
        <w:t>–</w:t>
      </w:r>
      <w:r w:rsidRPr="00EC4DC7">
        <w:rPr>
          <w:rFonts w:ascii="Simplified Arabic" w:hAnsi="Simplified Arabic" w:cs="Simplified Arabic" w:hint="cs"/>
          <w:rtl/>
          <w:lang w:bidi="ar-EG"/>
        </w:rPr>
        <w:t xml:space="preserve"> ليس طرفًا في خصومة"، نُشر في مجلة الكرازة 5 يناير 1990</w:t>
      </w:r>
      <w:r>
        <w:rPr>
          <w:rFonts w:ascii="Simplified Arabic" w:hAnsi="Simplified Arabic" w:cs="Simplified Arabic" w:hint="cs"/>
          <w:rtl/>
          <w:lang w:bidi="ar-EG"/>
        </w:rPr>
        <w:t>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93AD8" w14:textId="6126C224" w:rsidR="00D83E5F" w:rsidRDefault="00D83E5F" w:rsidP="00D83E5F">
    <w:pPr>
      <w:pStyle w:val="Header"/>
      <w:bidi/>
    </w:pPr>
    <w:r>
      <w:rPr>
        <w:noProof/>
      </w:rPr>
      <w:drawing>
        <wp:inline distT="0" distB="0" distL="0" distR="0" wp14:anchorId="26F2D1A5" wp14:editId="60D2B65B">
          <wp:extent cx="419100" cy="409575"/>
          <wp:effectExtent l="0" t="0" r="0" b="9525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295"/>
    <w:rsid w:val="000D0295"/>
    <w:rsid w:val="001F650E"/>
    <w:rsid w:val="00237A38"/>
    <w:rsid w:val="003A21AB"/>
    <w:rsid w:val="006102C4"/>
    <w:rsid w:val="00625D1D"/>
    <w:rsid w:val="006D2138"/>
    <w:rsid w:val="00704C70"/>
    <w:rsid w:val="00715A03"/>
    <w:rsid w:val="00741B37"/>
    <w:rsid w:val="008E5469"/>
    <w:rsid w:val="00A214D0"/>
    <w:rsid w:val="00B31424"/>
    <w:rsid w:val="00D83E5F"/>
    <w:rsid w:val="00EC4DC7"/>
    <w:rsid w:val="00FB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B6E23F"/>
  <w15:chartTrackingRefBased/>
  <w15:docId w15:val="{0F289AE0-3AEA-44B1-8ED3-C025BE0FE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C4DC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4DC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4DC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83E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E5F"/>
  </w:style>
  <w:style w:type="paragraph" w:styleId="Footer">
    <w:name w:val="footer"/>
    <w:basedOn w:val="Normal"/>
    <w:link w:val="FooterChar"/>
    <w:uiPriority w:val="99"/>
    <w:unhideWhenUsed/>
    <w:rsid w:val="00D83E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08F72-4AD3-4D37-8441-EF2CB8E6A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PopeShenoudaGEC-PC13</dc:creator>
  <cp:keywords/>
  <dc:description/>
  <cp:lastModifiedBy>tk</cp:lastModifiedBy>
  <cp:revision>11</cp:revision>
  <dcterms:created xsi:type="dcterms:W3CDTF">2018-01-28T10:17:00Z</dcterms:created>
  <dcterms:modified xsi:type="dcterms:W3CDTF">2026-09-07T09:25:00Z</dcterms:modified>
</cp:coreProperties>
</file>