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24303" w14:textId="0D962C37" w:rsidR="00D76BE1" w:rsidRPr="0049434A" w:rsidRDefault="00D76BE1" w:rsidP="00D76BE1">
      <w:pPr>
        <w:rPr>
          <w:rFonts w:ascii="Tajawal" w:hAnsi="Tajawal" w:cs="Tajawal"/>
          <w:b/>
          <w:bCs/>
          <w:rtl/>
          <w:lang w:bidi="ar-EG"/>
        </w:rPr>
      </w:pPr>
      <w:r w:rsidRPr="0049434A">
        <w:rPr>
          <w:rFonts w:ascii="Tajawal" w:hAnsi="Tajawal" w:cs="Tajawal"/>
          <w:b/>
          <w:bCs/>
          <w:rtl/>
          <w:lang w:bidi="ar-EG"/>
        </w:rPr>
        <w:t>باب الطقوس</w:t>
      </w:r>
    </w:p>
    <w:p w14:paraId="01A19519" w14:textId="552ADFAB" w:rsidR="00D76BE1" w:rsidRPr="0049434A" w:rsidRDefault="00D76BE1" w:rsidP="0049434A">
      <w:pPr>
        <w:jc w:val="center"/>
        <w:rPr>
          <w:rFonts w:ascii="Tajawal" w:hAnsi="Tajawal" w:cs="Tajawal"/>
          <w:b/>
          <w:bCs/>
          <w:sz w:val="48"/>
          <w:szCs w:val="48"/>
          <w:rtl/>
          <w:lang w:bidi="ar-EG"/>
        </w:rPr>
      </w:pPr>
      <w:r w:rsidRPr="0049434A">
        <w:rPr>
          <w:rFonts w:ascii="Tajawal" w:hAnsi="Tajawal" w:cs="Tajawal"/>
          <w:b/>
          <w:bCs/>
          <w:sz w:val="48"/>
          <w:szCs w:val="48"/>
          <w:rtl/>
          <w:lang w:bidi="ar-EG"/>
        </w:rPr>
        <w:t>آداب خاصة بالهيكل والمذبح</w:t>
      </w:r>
      <w:r w:rsidR="00C773D4" w:rsidRPr="00C773D4">
        <w:rPr>
          <w:rStyle w:val="FootnoteReference"/>
          <w:rFonts w:ascii="Tajawal" w:hAnsi="Tajawal" w:cs="Tajawal"/>
          <w:b/>
          <w:bCs/>
          <w:sz w:val="40"/>
          <w:szCs w:val="40"/>
          <w:rtl/>
          <w:lang w:bidi="ar-EG"/>
        </w:rPr>
        <w:footnoteReference w:id="1"/>
      </w:r>
    </w:p>
    <w:p w14:paraId="5E8B629A" w14:textId="5EF2E4A0" w:rsidR="00D76BE1" w:rsidRPr="0049434A" w:rsidRDefault="00D76BE1" w:rsidP="00D76BE1">
      <w:pPr>
        <w:rPr>
          <w:rFonts w:ascii="Tajawal" w:hAnsi="Tajawal" w:cs="Tajawal"/>
          <w:rtl/>
          <w:lang w:bidi="ar-EG"/>
        </w:rPr>
      </w:pPr>
    </w:p>
    <w:p w14:paraId="24528F18" w14:textId="77777777" w:rsidR="00D76BE1" w:rsidRPr="0049434A" w:rsidRDefault="00D76BE1" w:rsidP="00D76BE1">
      <w:pPr>
        <w:rPr>
          <w:rFonts w:ascii="Tajawal" w:hAnsi="Tajawal" w:cs="Tajawal"/>
          <w:lang w:bidi="ar-EG"/>
        </w:rPr>
      </w:pPr>
      <w:r w:rsidRPr="0049434A">
        <w:rPr>
          <w:rFonts w:ascii="Tajawal" w:hAnsi="Tajawal" w:cs="Tajawal"/>
          <w:rtl/>
          <w:lang w:bidi="ar-EG"/>
        </w:rPr>
        <w:t xml:space="preserve">1-لا يجوز دخول الهيكل إلا لخدام المذبح أي لرتب الكهنوت ودرجات الشمامسة. </w:t>
      </w:r>
    </w:p>
    <w:p w14:paraId="0E483F1F" w14:textId="77777777" w:rsidR="00D76BE1" w:rsidRPr="0049434A" w:rsidRDefault="00D76BE1" w:rsidP="00D76BE1">
      <w:pPr>
        <w:ind w:left="-134"/>
        <w:rPr>
          <w:rFonts w:ascii="Tajawal" w:hAnsi="Tajawal" w:cs="Tajawal"/>
          <w:rtl/>
          <w:lang w:bidi="ar-EG"/>
        </w:rPr>
      </w:pPr>
      <w:r w:rsidRPr="0049434A">
        <w:rPr>
          <w:rFonts w:ascii="Tajawal" w:hAnsi="Tajawal" w:cs="Tajawal"/>
          <w:rtl/>
          <w:lang w:bidi="ar-EG"/>
        </w:rPr>
        <w:t xml:space="preserve">ومن هنا كان السبب في عدم دخول المرأة إلى الهيكل. </w:t>
      </w:r>
    </w:p>
    <w:p w14:paraId="04AA52F8" w14:textId="77777777" w:rsidR="00D76BE1" w:rsidRPr="0049434A" w:rsidRDefault="00D76BE1" w:rsidP="00D76BE1">
      <w:pPr>
        <w:ind w:left="-134"/>
        <w:rPr>
          <w:rFonts w:ascii="Tajawal" w:hAnsi="Tajawal" w:cs="Tajawal"/>
          <w:rtl/>
          <w:lang w:bidi="ar-EG"/>
        </w:rPr>
      </w:pPr>
      <w:r w:rsidRPr="0049434A">
        <w:rPr>
          <w:rFonts w:ascii="Tajawal" w:hAnsi="Tajawal" w:cs="Tajawal"/>
          <w:rtl/>
          <w:lang w:bidi="ar-EG"/>
        </w:rPr>
        <w:t>وهنا أيضًا تواجهنا مشكلة المصورين في مناسبات الأعياد والسيامات وغيرها، ويحتاج الأمر إلى حل.</w:t>
      </w:r>
    </w:p>
    <w:p w14:paraId="153DAB3E" w14:textId="30DC0C93" w:rsidR="00D76BE1" w:rsidRPr="0049434A" w:rsidRDefault="00D76BE1" w:rsidP="00D76BE1">
      <w:pPr>
        <w:rPr>
          <w:rFonts w:ascii="Tajawal" w:hAnsi="Tajawal" w:cs="Tajawal"/>
          <w:lang w:bidi="ar-EG"/>
        </w:rPr>
      </w:pPr>
      <w:r w:rsidRPr="0049434A">
        <w:rPr>
          <w:rFonts w:ascii="Tajawal" w:hAnsi="Tajawal" w:cs="Tajawal"/>
          <w:rtl/>
          <w:lang w:bidi="ar-EG"/>
        </w:rPr>
        <w:t>2- لا يجوز في القداس الإلهي أن تدخل إلى الهيكل، سوى قربانة واحدة هي (قربانة الحمل). أما طبق القربان الخاص بالحمل فيظل دائمًا خارج الهيكل، سواء قبل القداس أو بعد اختيار (الحمل)</w:t>
      </w:r>
    </w:p>
    <w:p w14:paraId="79DF375F" w14:textId="04DB3275" w:rsidR="00D76BE1" w:rsidRPr="0049434A" w:rsidRDefault="00D76BE1" w:rsidP="00D76BE1">
      <w:pPr>
        <w:rPr>
          <w:rFonts w:ascii="Tajawal" w:hAnsi="Tajawal" w:cs="Tajawal"/>
          <w:lang w:bidi="ar-EG"/>
        </w:rPr>
      </w:pPr>
      <w:r w:rsidRPr="0049434A">
        <w:rPr>
          <w:rFonts w:ascii="Tajawal" w:hAnsi="Tajawal" w:cs="Tajawal"/>
          <w:rtl/>
          <w:lang w:bidi="ar-EG"/>
        </w:rPr>
        <w:t xml:space="preserve">3- لا يجوز لأحد أن يعطي ظهره للمذبح، ولا أن يركن بيده أو بجسمه عليه. بل يكون واقفًا حوله بخشوع. </w:t>
      </w:r>
    </w:p>
    <w:p w14:paraId="035C2D27" w14:textId="682B57D1" w:rsidR="00D76BE1" w:rsidRPr="0049434A" w:rsidRDefault="00D76BE1" w:rsidP="00D76BE1">
      <w:pPr>
        <w:rPr>
          <w:rFonts w:ascii="Tajawal" w:hAnsi="Tajawal" w:cs="Tajawal"/>
          <w:lang w:bidi="ar-EG"/>
        </w:rPr>
      </w:pPr>
      <w:r w:rsidRPr="0049434A">
        <w:rPr>
          <w:rFonts w:ascii="Tajawal" w:hAnsi="Tajawal" w:cs="Tajawal"/>
          <w:rtl/>
          <w:lang w:bidi="ar-EG"/>
        </w:rPr>
        <w:t>4- المفروض أن رجال الكهنوت (غير الكاهن الخديم) يقفون على يمين المذبح...</w:t>
      </w:r>
    </w:p>
    <w:p w14:paraId="023CEB8B" w14:textId="61D4D84C" w:rsidR="00D76BE1" w:rsidRPr="0049434A" w:rsidRDefault="00D76BE1" w:rsidP="00D76BE1">
      <w:pPr>
        <w:pStyle w:val="ListParagraph"/>
        <w:ind w:left="84"/>
        <w:jc w:val="lowKashida"/>
        <w:rPr>
          <w:rFonts w:ascii="Tajawal" w:hAnsi="Tajawal" w:cs="Tajawal"/>
          <w:sz w:val="32"/>
          <w:szCs w:val="32"/>
          <w:lang w:bidi="ar-EG"/>
        </w:rPr>
      </w:pPr>
      <w:r w:rsidRPr="0049434A">
        <w:rPr>
          <w:rFonts w:ascii="Tajawal" w:hAnsi="Tajawal" w:cs="Tajawal"/>
          <w:sz w:val="32"/>
          <w:szCs w:val="32"/>
          <w:rtl/>
          <w:lang w:bidi="ar-EG"/>
        </w:rPr>
        <w:t xml:space="preserve">5- ينبغي أن يكون المذبح مرتبًا، ولا تلقى عليه أوراق كيفما اتفق، كأوراق طلب الصلاة، التي يمكن أن توضع في مظروف خاص تحت كرسي الكأس. كذلك يجب وضع اللفائف والكتب بترتيب، والاحتفاظ بترتيبها. </w:t>
      </w:r>
    </w:p>
    <w:p w14:paraId="7624D3B6" w14:textId="3D7AC09D" w:rsidR="00D76BE1" w:rsidRPr="0049434A" w:rsidRDefault="00D76BE1" w:rsidP="00D76BE1">
      <w:pPr>
        <w:rPr>
          <w:rFonts w:ascii="Tajawal" w:hAnsi="Tajawal" w:cs="Tajawal"/>
          <w:lang w:bidi="ar-EG"/>
        </w:rPr>
      </w:pPr>
      <w:r w:rsidRPr="0049434A">
        <w:rPr>
          <w:rFonts w:ascii="Tajawal" w:hAnsi="Tajawal" w:cs="Tajawal"/>
          <w:rtl/>
          <w:lang w:bidi="ar-EG"/>
        </w:rPr>
        <w:t xml:space="preserve">6- لا يجوز الكلام والأحاديث داخل الهيكل، بل يقتصر الأمر على الصلاة فقط. </w:t>
      </w:r>
    </w:p>
    <w:p w14:paraId="7DDAF15D" w14:textId="293C1B2E" w:rsidR="00D76BE1" w:rsidRPr="0049434A" w:rsidRDefault="00D76BE1" w:rsidP="00D76BE1">
      <w:pPr>
        <w:pStyle w:val="ListParagraph"/>
        <w:ind w:left="84"/>
        <w:jc w:val="lowKashida"/>
        <w:rPr>
          <w:rFonts w:ascii="Tajawal" w:hAnsi="Tajawal" w:cs="Tajawal"/>
          <w:sz w:val="32"/>
          <w:szCs w:val="32"/>
          <w:lang w:bidi="ar-EG"/>
        </w:rPr>
      </w:pPr>
      <w:r w:rsidRPr="0049434A">
        <w:rPr>
          <w:rFonts w:ascii="Tajawal" w:hAnsi="Tajawal" w:cs="Tajawal"/>
          <w:sz w:val="32"/>
          <w:szCs w:val="32"/>
          <w:rtl/>
          <w:lang w:bidi="ar-EG"/>
        </w:rPr>
        <w:lastRenderedPageBreak/>
        <w:t xml:space="preserve">7- يدخل الإنسان إلى الهيكل بقدمه اليمنى. </w:t>
      </w:r>
    </w:p>
    <w:p w14:paraId="536A847B" w14:textId="5DC67EF2" w:rsidR="00D76BE1" w:rsidRPr="0049434A" w:rsidRDefault="00D76BE1" w:rsidP="00D76BE1">
      <w:pPr>
        <w:rPr>
          <w:rFonts w:ascii="Tajawal" w:hAnsi="Tajawal" w:cs="Tajawal"/>
          <w:lang w:bidi="ar-EG"/>
        </w:rPr>
      </w:pPr>
      <w:r w:rsidRPr="0049434A">
        <w:rPr>
          <w:rFonts w:ascii="Tajawal" w:hAnsi="Tajawal" w:cs="Tajawal"/>
          <w:rtl/>
          <w:lang w:bidi="ar-EG"/>
        </w:rPr>
        <w:t xml:space="preserve">8- لا يجوز لأي إنسان فتح ستر الهيكل أو إسداله، إلا لرجال الكهنوت فقط. وعندما يفتح الأب الكاهن باب الهيكل أو يغلقه، يصلي قائلًا: "اجعل يا رب باب بيعتك مفتوحًا أمامنا في كل زمان وإلى آخر الأزمان. ولا تغلق باب بيعتك في وجوهنا". </w:t>
      </w:r>
    </w:p>
    <w:p w14:paraId="38693ABA" w14:textId="2300EA33" w:rsidR="00D76BE1" w:rsidRPr="0049434A" w:rsidRDefault="00D76BE1" w:rsidP="00D76BE1">
      <w:pPr>
        <w:pStyle w:val="ListParagraph"/>
        <w:ind w:left="84"/>
        <w:jc w:val="lowKashida"/>
        <w:rPr>
          <w:rFonts w:ascii="Tajawal" w:hAnsi="Tajawal" w:cs="Tajawal"/>
          <w:sz w:val="32"/>
          <w:szCs w:val="32"/>
          <w:lang w:bidi="ar-EG"/>
        </w:rPr>
      </w:pPr>
      <w:r w:rsidRPr="0049434A">
        <w:rPr>
          <w:rFonts w:ascii="Tajawal" w:hAnsi="Tajawal" w:cs="Tajawal"/>
          <w:sz w:val="32"/>
          <w:szCs w:val="32"/>
          <w:rtl/>
          <w:lang w:bidi="ar-EG"/>
        </w:rPr>
        <w:t>9- يسجد المصلون أمام الهيكل عندما يدخلون الكنيسة. ويرتل المصلي قول المزمور: "أما أنا فبكثرة رحمتك أدخل إلى بيتك، وأسجد قدام هيكلك المقدس"..</w:t>
      </w:r>
    </w:p>
    <w:p w14:paraId="37FEB575" w14:textId="752569A9" w:rsidR="00D76BE1" w:rsidRPr="0049434A" w:rsidRDefault="00D76BE1" w:rsidP="00D76BE1">
      <w:pPr>
        <w:pStyle w:val="ListParagraph"/>
        <w:tabs>
          <w:tab w:val="left" w:pos="226"/>
        </w:tabs>
        <w:ind w:left="-199"/>
        <w:jc w:val="lowKashida"/>
        <w:rPr>
          <w:rFonts w:ascii="Tajawal" w:hAnsi="Tajawal" w:cs="Tajawal"/>
          <w:sz w:val="32"/>
          <w:szCs w:val="32"/>
          <w:lang w:bidi="ar-EG"/>
        </w:rPr>
      </w:pPr>
      <w:r w:rsidRPr="0049434A">
        <w:rPr>
          <w:rFonts w:ascii="Tajawal" w:hAnsi="Tajawal" w:cs="Tajawal"/>
          <w:sz w:val="32"/>
          <w:szCs w:val="32"/>
          <w:rtl/>
          <w:lang w:bidi="ar-EG"/>
        </w:rPr>
        <w:t xml:space="preserve">10- كذلك عندما يدخل الكاهن إلى الهيكل، يسجد قدام المذبح ويقبله. </w:t>
      </w:r>
    </w:p>
    <w:p w14:paraId="60997522" w14:textId="77777777" w:rsidR="006234B6" w:rsidRPr="0049434A" w:rsidRDefault="006234B6" w:rsidP="00D76BE1">
      <w:pPr>
        <w:rPr>
          <w:rFonts w:ascii="Tajawal" w:hAnsi="Tajawal" w:cs="Tajawal"/>
        </w:rPr>
      </w:pPr>
    </w:p>
    <w:sectPr w:rsidR="006234B6" w:rsidRPr="0049434A"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68D38AF8" w14:textId="0B6F7253" w:rsidR="00C773D4" w:rsidRDefault="00C773D4">
      <w:pPr>
        <w:pStyle w:val="FootnoteText"/>
        <w:rPr>
          <w:rFonts w:hint="cs"/>
          <w:lang w:bidi="ar-EG"/>
        </w:rPr>
      </w:pPr>
      <w:r>
        <w:rPr>
          <w:rStyle w:val="FootnoteReference"/>
        </w:rPr>
        <w:footnoteRef/>
      </w:r>
      <w:r>
        <w:rPr>
          <w:rtl/>
        </w:rPr>
        <w:t xml:space="preserve"> </w:t>
      </w:r>
      <w:r>
        <w:rPr>
          <w:rtl/>
        </w:rPr>
        <w:t xml:space="preserve">مقال لقداسة البابا شنوده الثالث – بمجلة الكرازة السنة </w:t>
      </w:r>
      <w:r>
        <w:rPr>
          <w:rFonts w:hint="cs"/>
          <w:rtl/>
        </w:rPr>
        <w:t>السابعة</w:t>
      </w:r>
      <w:r>
        <w:rPr>
          <w:rtl/>
        </w:rPr>
        <w:t xml:space="preserve"> عشر – العدد </w:t>
      </w:r>
      <w:r>
        <w:rPr>
          <w:rFonts w:hint="cs"/>
          <w:rtl/>
        </w:rPr>
        <w:t>السادس والعشرون</w:t>
      </w:r>
      <w:r>
        <w:rPr>
          <w:rtl/>
        </w:rPr>
        <w:t xml:space="preserve"> </w:t>
      </w:r>
      <w:r>
        <w:rPr>
          <w:rFonts w:hint="cs"/>
          <w:rtl/>
        </w:rPr>
        <w:t>30-6-1989م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75C6"/>
    <w:rsid w:val="002F474E"/>
    <w:rsid w:val="003779A8"/>
    <w:rsid w:val="003F09E7"/>
    <w:rsid w:val="0049434A"/>
    <w:rsid w:val="006234B6"/>
    <w:rsid w:val="006252F8"/>
    <w:rsid w:val="006D2588"/>
    <w:rsid w:val="00746A50"/>
    <w:rsid w:val="00987980"/>
    <w:rsid w:val="009A1D90"/>
    <w:rsid w:val="00AD2D0A"/>
    <w:rsid w:val="00B04D51"/>
    <w:rsid w:val="00B22F9E"/>
    <w:rsid w:val="00C1564B"/>
    <w:rsid w:val="00C773D4"/>
    <w:rsid w:val="00D76BE1"/>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ListParagraph">
    <w:name w:val="List Paragraph"/>
    <w:basedOn w:val="Normal"/>
    <w:uiPriority w:val="34"/>
    <w:qFormat/>
    <w:rsid w:val="00D76BE1"/>
    <w:pPr>
      <w:ind w:left="720"/>
      <w:contextualSpacing/>
      <w:jc w:val="left"/>
    </w:pPr>
    <w:rPr>
      <w:rFonts w:asciiTheme="minorHAnsi" w:hAnsiTheme="minorHAnsi" w:cstheme="minorBidi"/>
      <w:sz w:val="22"/>
      <w:szCs w:val="22"/>
    </w:rPr>
  </w:style>
  <w:style w:type="paragraph" w:styleId="FootnoteText">
    <w:name w:val="footnote text"/>
    <w:basedOn w:val="Normal"/>
    <w:link w:val="FootnoteTextChar"/>
    <w:uiPriority w:val="99"/>
    <w:semiHidden/>
    <w:unhideWhenUsed/>
    <w:rsid w:val="00B04D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4D51"/>
    <w:rPr>
      <w:rFonts w:ascii="Simplified Arabic" w:hAnsi="Simplified Arabic" w:cs="Simplified Arabic"/>
      <w:sz w:val="20"/>
      <w:szCs w:val="20"/>
    </w:rPr>
  </w:style>
  <w:style w:type="character" w:styleId="FootnoteReference">
    <w:name w:val="footnote reference"/>
    <w:basedOn w:val="DefaultParagraphFont"/>
    <w:uiPriority w:val="99"/>
    <w:semiHidden/>
    <w:unhideWhenUsed/>
    <w:rsid w:val="00B04D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13BF5-588D-4BB6-9D43-14472624B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13</cp:revision>
  <dcterms:created xsi:type="dcterms:W3CDTF">2024-09-26T11:03:00Z</dcterms:created>
  <dcterms:modified xsi:type="dcterms:W3CDTF">2024-11-29T07:39:00Z</dcterms:modified>
</cp:coreProperties>
</file>