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623A" w14:textId="77777777" w:rsidR="00C269FE" w:rsidRPr="00C269FE" w:rsidRDefault="00C269FE" w:rsidP="00C269FE">
      <w:pPr>
        <w:rPr>
          <w:rFonts w:ascii="Tajawal" w:eastAsia="Calibri" w:hAnsi="Tajawal" w:cs="Tajawal"/>
          <w:b/>
          <w:bCs/>
          <w:rtl/>
          <w:lang w:bidi="ar-EG"/>
        </w:rPr>
      </w:pPr>
      <w:r w:rsidRPr="00C269FE">
        <w:rPr>
          <w:rFonts w:ascii="Tajawal" w:eastAsia="Calibri" w:hAnsi="Tajawal" w:cs="Tajawal"/>
          <w:b/>
          <w:bCs/>
          <w:rtl/>
          <w:lang w:bidi="ar-EG"/>
        </w:rPr>
        <w:t>باب الطقوس</w:t>
      </w:r>
    </w:p>
    <w:p w14:paraId="49A30344" w14:textId="6287AD1C" w:rsidR="00C269FE" w:rsidRPr="00C269FE" w:rsidRDefault="00C269FE" w:rsidP="00C269FE">
      <w:pPr>
        <w:jc w:val="center"/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</w:pPr>
      <w:r w:rsidRPr="00C269FE">
        <w:rPr>
          <w:rFonts w:ascii="Tajawal" w:eastAsia="Calibri" w:hAnsi="Tajawal" w:cs="Tajawal"/>
          <w:b/>
          <w:bCs/>
          <w:sz w:val="48"/>
          <w:szCs w:val="48"/>
          <w:rtl/>
          <w:lang w:bidi="ar-EG"/>
        </w:rPr>
        <w:t>ترجمة القداسات</w:t>
      </w:r>
      <w:r w:rsidRPr="00C269FE">
        <w:rPr>
          <w:rStyle w:val="FootnoteReference"/>
          <w:rFonts w:ascii="Tajawal" w:eastAsia="Calibri" w:hAnsi="Tajawal" w:cs="Tajawal"/>
          <w:b/>
          <w:bCs/>
          <w:sz w:val="40"/>
          <w:szCs w:val="40"/>
          <w:rtl/>
          <w:lang w:bidi="ar-EG"/>
        </w:rPr>
        <w:footnoteReference w:id="1"/>
      </w:r>
    </w:p>
    <w:p w14:paraId="0DC12A63" w14:textId="77777777" w:rsidR="00C269FE" w:rsidRPr="00C269FE" w:rsidRDefault="00C269FE" w:rsidP="00C269FE">
      <w:pPr>
        <w:rPr>
          <w:rFonts w:ascii="Tajawal" w:eastAsia="Calibri" w:hAnsi="Tajawal" w:cs="Tajawal"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 xml:space="preserve">المفروض أن يصلي جميع المؤمنين في كل أنحاء الأرض، بنفس الصلوات، بروح واحدة... كما قيل في سفر أعمال الرسل: "رفعوا بنفس واحدة صوتًا إلى الله وقالوا..." (أع4: 24). فإن كانوا في الصلوات العادية هكذا، فكم بالأولي القداسات. </w:t>
      </w:r>
    </w:p>
    <w:p w14:paraId="4683D3E8" w14:textId="77777777" w:rsidR="00C269FE" w:rsidRPr="00C269FE" w:rsidRDefault="00C269FE" w:rsidP="00C269FE">
      <w:pPr>
        <w:rPr>
          <w:rFonts w:ascii="Tajawal" w:eastAsia="Calibri" w:hAnsi="Tajawal" w:cs="Tajawal"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 xml:space="preserve">ولكننا نلاحظ أمرين هامين: أحدهما في مصر، والآخر في المهجر. </w:t>
      </w:r>
    </w:p>
    <w:p w14:paraId="4A65511C" w14:textId="77777777" w:rsidR="00C269FE" w:rsidRPr="00C269FE" w:rsidRDefault="00C269FE" w:rsidP="00C269FE">
      <w:pPr>
        <w:rPr>
          <w:rFonts w:ascii="Tajawal" w:eastAsia="Calibri" w:hAnsi="Tajawal" w:cs="Tajawal"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>1-</w:t>
      </w:r>
      <w:r w:rsidRPr="00C269FE">
        <w:rPr>
          <w:rFonts w:ascii="Tajawal" w:eastAsia="Calibri" w:hAnsi="Tajawal" w:cs="Tajawal"/>
          <w:b/>
          <w:bCs/>
          <w:rtl/>
          <w:lang w:bidi="ar-EG"/>
        </w:rPr>
        <w:t>ففي المهجر، توجد ترجمات متعددة للقداس، تختلف ألفاظها</w:t>
      </w:r>
      <w:r w:rsidRPr="00C269FE">
        <w:rPr>
          <w:rFonts w:ascii="Tajawal" w:eastAsia="Calibri" w:hAnsi="Tajawal" w:cs="Tajawal"/>
          <w:rtl/>
          <w:lang w:bidi="ar-EG"/>
        </w:rPr>
        <w:t>.</w:t>
      </w:r>
    </w:p>
    <w:p w14:paraId="2BE5733E" w14:textId="77777777" w:rsidR="00C269FE" w:rsidRPr="00C269FE" w:rsidRDefault="00C269FE" w:rsidP="00C269FE">
      <w:pPr>
        <w:rPr>
          <w:rFonts w:ascii="Tajawal" w:eastAsia="Calibri" w:hAnsi="Tajawal" w:cs="Tajawal"/>
          <w:b/>
          <w:bCs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>2-</w:t>
      </w:r>
      <w:r w:rsidRPr="00C269FE">
        <w:rPr>
          <w:rFonts w:ascii="Tajawal" w:eastAsia="Calibri" w:hAnsi="Tajawal" w:cs="Tajawal"/>
          <w:b/>
          <w:bCs/>
          <w:rtl/>
          <w:lang w:bidi="ar-EG"/>
        </w:rPr>
        <w:t>وفي مصر تري البعض لا يتقيدون بلغة القداس، إنما يستخدمون ذكاءهم في وضع ترجمة جديدة حسب فهمهم، يغيرون فيها ألفاظ القداس ربما بألفاظ أخرى لم يتعودها السامعون!</w:t>
      </w:r>
    </w:p>
    <w:p w14:paraId="1C82E3B9" w14:textId="77777777" w:rsidR="00C269FE" w:rsidRPr="00C269FE" w:rsidRDefault="00C269FE" w:rsidP="00C269FE">
      <w:pPr>
        <w:rPr>
          <w:rFonts w:ascii="Tajawal" w:eastAsia="Calibri" w:hAnsi="Tajawal" w:cs="Tajawal"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 xml:space="preserve">ونحن نريد أن تكون هناك ترجمة واحدة للقداس في المهجر، تتفق عليها جميع الكنائس هناك. وهذا الأمر سهل وممكن... </w:t>
      </w:r>
    </w:p>
    <w:p w14:paraId="6466EDA5" w14:textId="77777777" w:rsidR="00C269FE" w:rsidRPr="00C269FE" w:rsidRDefault="00C269FE" w:rsidP="00C269FE">
      <w:pPr>
        <w:rPr>
          <w:rFonts w:ascii="Tajawal" w:eastAsia="Calibri" w:hAnsi="Tajawal" w:cs="Tajawal"/>
          <w:rtl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>كما نريد أن يتواضع البعض في مصر، فلا يغيرون في ألفاظ القداس حسب فهمهم الخاص. ويتركون مراجعة ألفاظ القداس إلى لجنة الطقوس في المجمع المقدس.</w:t>
      </w:r>
    </w:p>
    <w:p w14:paraId="5BB7D10B" w14:textId="77777777" w:rsidR="00C269FE" w:rsidRPr="00C269FE" w:rsidRDefault="00C269FE" w:rsidP="00C269FE">
      <w:pPr>
        <w:rPr>
          <w:rFonts w:ascii="Tajawal" w:eastAsia="Calibri" w:hAnsi="Tajawal" w:cs="Tajawal"/>
          <w:b/>
          <w:bCs/>
          <w:rtl/>
          <w:lang w:bidi="ar-EG"/>
        </w:rPr>
      </w:pPr>
      <w:r w:rsidRPr="00C269FE">
        <w:rPr>
          <w:rFonts w:ascii="Tajawal" w:eastAsia="Calibri" w:hAnsi="Tajawal" w:cs="Tajawal"/>
          <w:b/>
          <w:bCs/>
          <w:rtl/>
          <w:lang w:bidi="ar-EG"/>
        </w:rPr>
        <w:t>نقول هذا، من أجل وحدة الروح. وحتى لا يتبلبل المصلون، ويسألون حائرين: ما هو الصواب؟! ومن هو المخطئ في صلواته من الكهنة؟!</w:t>
      </w:r>
    </w:p>
    <w:p w14:paraId="35DB87BC" w14:textId="77777777" w:rsidR="00C269FE" w:rsidRPr="00C269FE" w:rsidRDefault="00C269FE" w:rsidP="00C269FE">
      <w:pPr>
        <w:rPr>
          <w:rFonts w:ascii="Tajawal" w:eastAsia="Calibri" w:hAnsi="Tajawal" w:cs="Tajawal"/>
          <w:lang w:bidi="ar-EG"/>
        </w:rPr>
      </w:pPr>
      <w:r w:rsidRPr="00C269FE">
        <w:rPr>
          <w:rFonts w:ascii="Tajawal" w:eastAsia="Calibri" w:hAnsi="Tajawal" w:cs="Tajawal"/>
          <w:rtl/>
          <w:lang w:bidi="ar-EG"/>
        </w:rPr>
        <w:t>ونقول هذا أيضًا من أجل النظام في الكنيسة وحفظه...</w:t>
      </w:r>
    </w:p>
    <w:p w14:paraId="60997522" w14:textId="77777777" w:rsidR="006234B6" w:rsidRPr="00C269FE" w:rsidRDefault="006234B6" w:rsidP="003F09E7">
      <w:pPr>
        <w:spacing w:after="0"/>
      </w:pPr>
    </w:p>
    <w:sectPr w:rsidR="006234B6" w:rsidRPr="00C269FE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0A08F3ED" w14:textId="04E6907F" w:rsidR="00C269FE" w:rsidRDefault="00C269FE" w:rsidP="00C269FE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269FE">
        <w:rPr>
          <w:rFonts w:hint="cs"/>
          <w:rtl/>
        </w:rPr>
        <w:t xml:space="preserve">مقال لقداسة البابا شنوده الثالث </w:t>
      </w:r>
      <w:r w:rsidRPr="00C269FE">
        <w:rPr>
          <w:rtl/>
        </w:rPr>
        <w:t>–</w:t>
      </w:r>
      <w:r w:rsidRPr="00C269FE">
        <w:rPr>
          <w:rFonts w:hint="cs"/>
          <w:rtl/>
        </w:rPr>
        <w:t xml:space="preserve"> بمجلة الكرازة السنة الثالثة عشرة </w:t>
      </w:r>
      <w:r w:rsidRPr="00C269FE">
        <w:rPr>
          <w:rtl/>
        </w:rPr>
        <w:t>–</w:t>
      </w:r>
      <w:r w:rsidRPr="00C269FE">
        <w:rPr>
          <w:rFonts w:hint="cs"/>
          <w:rtl/>
        </w:rPr>
        <w:t xml:space="preserve"> العدد</w:t>
      </w:r>
      <w:r>
        <w:rPr>
          <w:rFonts w:hint="cs"/>
          <w:rtl/>
        </w:rPr>
        <w:t xml:space="preserve"> الرابع 16-7-1985م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6234B6"/>
    <w:rsid w:val="006252F8"/>
    <w:rsid w:val="006D2588"/>
    <w:rsid w:val="00746A50"/>
    <w:rsid w:val="00987980"/>
    <w:rsid w:val="009A1D90"/>
    <w:rsid w:val="00AD2D0A"/>
    <w:rsid w:val="00B22F9E"/>
    <w:rsid w:val="00C1564B"/>
    <w:rsid w:val="00C269FE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paragraph" w:styleId="FootnoteText">
    <w:name w:val="footnote text"/>
    <w:basedOn w:val="Normal"/>
    <w:link w:val="FootnoteTextChar"/>
    <w:uiPriority w:val="99"/>
    <w:semiHidden/>
    <w:unhideWhenUsed/>
    <w:rsid w:val="00C269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9FE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38CC-E8A4-44A6-924F-E9DA54A8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11</cp:revision>
  <dcterms:created xsi:type="dcterms:W3CDTF">2024-09-26T11:03:00Z</dcterms:created>
  <dcterms:modified xsi:type="dcterms:W3CDTF">2024-10-25T08:50:00Z</dcterms:modified>
</cp:coreProperties>
</file>