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FE511" w14:textId="77777777" w:rsidR="00000000" w:rsidRDefault="00F85D08">
      <w:pPr>
        <w:pStyle w:val="Heading1"/>
        <w:bidi/>
        <w:jc w:val="center"/>
        <w:rPr>
          <w:rFonts w:eastAsia="Times New Roman"/>
        </w:rPr>
      </w:pPr>
      <w:r>
        <w:rPr>
          <w:rStyle w:val="Strong"/>
          <w:rFonts w:ascii="Tahoma" w:eastAsia="Times New Roman" w:hAnsi="Tahoma" w:cs="Tahoma"/>
          <w:b/>
          <w:bCs/>
          <w:color w:val="000000"/>
          <w:rtl/>
        </w:rPr>
        <w:t>قوانين كنسية</w:t>
      </w:r>
    </w:p>
    <w:p w14:paraId="24F37D77" w14:textId="77777777" w:rsidR="00000000" w:rsidRDefault="00F85D08">
      <w:pPr>
        <w:pStyle w:val="Heading1"/>
        <w:bidi/>
        <w:jc w:val="center"/>
        <w:rPr>
          <w:rFonts w:eastAsia="Times New Roman"/>
          <w:rtl/>
        </w:rPr>
      </w:pPr>
      <w:r>
        <w:rPr>
          <w:rStyle w:val="Strong"/>
          <w:rFonts w:ascii="Tahoma" w:eastAsia="Times New Roman" w:hAnsi="Tahoma" w:cs="Tahoma"/>
          <w:b/>
          <w:bCs/>
          <w:color w:val="000000"/>
          <w:rtl/>
        </w:rPr>
        <w:t>ما القوانين الكنسية المعتمدة من الكنيسة القبطية</w:t>
      </w:r>
      <w:r>
        <w:rPr>
          <w:rStyle w:val="Strong"/>
          <w:rFonts w:ascii="Tahoma" w:eastAsia="Times New Roman" w:hAnsi="Tahoma" w:cs="Tahoma"/>
          <w:b/>
          <w:bCs/>
          <w:color w:val="000000"/>
          <w:rtl/>
        </w:rPr>
        <w:t>؟</w:t>
      </w:r>
      <w:hyperlink w:anchor="fn1" w:history="1">
        <w:r w:rsidRPr="007F5C99">
          <w:rPr>
            <w:rStyle w:val="Hyperlink"/>
            <w:rFonts w:ascii="Tahoma" w:eastAsia="Times New Roman" w:hAnsi="Tahoma" w:cs="Tahoma"/>
            <w:b w:val="0"/>
            <w:bCs w:val="0"/>
            <w:color w:val="000000"/>
            <w:sz w:val="22"/>
            <w:szCs w:val="22"/>
            <w:vertAlign w:val="superscript"/>
            <w:rtl/>
          </w:rPr>
          <w:t>1</w:t>
        </w:r>
      </w:hyperlink>
    </w:p>
    <w:p w14:paraId="2C21123A" w14:textId="77777777" w:rsidR="00000000" w:rsidRDefault="00F85D08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>تنقسم القوانين الكنسية إلى المجموعات الآتية:</w:t>
      </w:r>
    </w:p>
    <w:p w14:paraId="0BC5064D" w14:textId="77777777" w:rsidR="00000000" w:rsidRDefault="00F85D0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>1- قوانين الآباء الرسل.</w:t>
      </w:r>
    </w:p>
    <w:p w14:paraId="208F798A" w14:textId="77777777" w:rsidR="00000000" w:rsidRDefault="00F85D0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>2- قوانين المجامع المسكونية الثلاثة.</w:t>
      </w:r>
    </w:p>
    <w:p w14:paraId="3B365423" w14:textId="77777777" w:rsidR="00000000" w:rsidRDefault="00F85D0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>3- قوانين المجامع المكانية المعتبرة في الكنيسة العامة.</w:t>
      </w:r>
    </w:p>
    <w:p w14:paraId="2E46949D" w14:textId="77777777" w:rsidR="00000000" w:rsidRDefault="00F85D0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>4- قوانين الآباء القديسين الكبار.</w:t>
      </w:r>
    </w:p>
    <w:p w14:paraId="64C012F7" w14:textId="77777777" w:rsidR="00000000" w:rsidRDefault="00F85D0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>5- القوانين التي صدرت في عصور متأخرة.</w:t>
      </w:r>
    </w:p>
    <w:p w14:paraId="37A475F5" w14:textId="77777777" w:rsidR="00000000" w:rsidRDefault="00F85D08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>(أ) قوانين الآباء الرسل:</w:t>
      </w:r>
    </w:p>
    <w:p w14:paraId="3B4E04E2" w14:textId="77777777" w:rsidR="00000000" w:rsidRDefault="00F85D0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>عبارة عن 127 قانونًا، توجد في مجموعتين: إحداهما تشمل 56 قانونًا، والأخرى تشمل 71 قانونًا.</w:t>
      </w:r>
    </w:p>
    <w:p w14:paraId="3B1E1384" w14:textId="77777777" w:rsidR="00000000" w:rsidRDefault="00F85D0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>وقد نشرت هذه ا</w:t>
      </w:r>
      <w:r>
        <w:rPr>
          <w:rFonts w:ascii="Tahoma" w:hAnsi="Tahoma" w:cs="Tahoma"/>
          <w:color w:val="000000"/>
          <w:rtl/>
        </w:rPr>
        <w:t xml:space="preserve">لقوانين في مطبوعات </w:t>
      </w:r>
      <w:proofErr w:type="spellStart"/>
      <w:r>
        <w:rPr>
          <w:rFonts w:ascii="Tahoma" w:hAnsi="Tahoma" w:cs="Tahoma"/>
          <w:color w:val="000000"/>
        </w:rPr>
        <w:t>Patrologia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Orientalis</w:t>
      </w:r>
      <w:proofErr w:type="spellEnd"/>
      <w:r>
        <w:rPr>
          <w:rFonts w:ascii="Tahoma" w:hAnsi="Tahoma" w:cs="Tahoma"/>
          <w:color w:val="000000"/>
          <w:rtl/>
        </w:rPr>
        <w:t xml:space="preserve"> وقد نشرت هذه القوانين في 8 كتيبات أو مجموعات، تحت عنوان (قوانين </w:t>
      </w:r>
      <w:proofErr w:type="spellStart"/>
      <w:r>
        <w:rPr>
          <w:rFonts w:ascii="Tahoma" w:hAnsi="Tahoma" w:cs="Tahoma"/>
          <w:color w:val="000000"/>
          <w:rtl/>
        </w:rPr>
        <w:t>اكليمنضس</w:t>
      </w:r>
      <w:proofErr w:type="spellEnd"/>
      <w:r>
        <w:rPr>
          <w:rFonts w:ascii="Tahoma" w:hAnsi="Tahoma" w:cs="Tahoma"/>
          <w:color w:val="000000"/>
          <w:rtl/>
        </w:rPr>
        <w:t xml:space="preserve">) على اعتبار أن الآباء الرسل قد سلموها إلى القديس </w:t>
      </w:r>
      <w:proofErr w:type="spellStart"/>
      <w:r>
        <w:rPr>
          <w:rFonts w:ascii="Tahoma" w:hAnsi="Tahoma" w:cs="Tahoma"/>
          <w:color w:val="000000"/>
          <w:rtl/>
        </w:rPr>
        <w:t>اكليمنضس</w:t>
      </w:r>
      <w:proofErr w:type="spellEnd"/>
      <w:r>
        <w:rPr>
          <w:rFonts w:ascii="Tahoma" w:hAnsi="Tahoma" w:cs="Tahoma"/>
          <w:color w:val="000000"/>
          <w:rtl/>
        </w:rPr>
        <w:t xml:space="preserve"> الروماني لتوصيلها للكنائس.</w:t>
      </w:r>
    </w:p>
    <w:p w14:paraId="0BDF7863" w14:textId="77777777" w:rsidR="00000000" w:rsidRDefault="00F85D0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 xml:space="preserve">وقد لخصت هذه القوانين في (مجموعة </w:t>
      </w:r>
      <w:proofErr w:type="spellStart"/>
      <w:r>
        <w:rPr>
          <w:rFonts w:ascii="Tahoma" w:hAnsi="Tahoma" w:cs="Tahoma"/>
          <w:color w:val="000000"/>
          <w:rtl/>
        </w:rPr>
        <w:t>أبوليدس</w:t>
      </w:r>
      <w:proofErr w:type="spellEnd"/>
      <w:r>
        <w:rPr>
          <w:rFonts w:ascii="Tahoma" w:hAnsi="Tahoma" w:cs="Tahoma"/>
          <w:color w:val="000000"/>
          <w:rtl/>
        </w:rPr>
        <w:t xml:space="preserve">) أو القديس </w:t>
      </w:r>
      <w:proofErr w:type="spellStart"/>
      <w:r>
        <w:rPr>
          <w:rFonts w:ascii="Tahoma" w:hAnsi="Tahoma" w:cs="Tahoma"/>
          <w:color w:val="000000"/>
          <w:rtl/>
        </w:rPr>
        <w:t>أيبول</w:t>
      </w:r>
      <w:r>
        <w:rPr>
          <w:rFonts w:ascii="Tahoma" w:hAnsi="Tahoma" w:cs="Tahoma"/>
          <w:color w:val="000000"/>
          <w:rtl/>
        </w:rPr>
        <w:t>يتس</w:t>
      </w:r>
      <w:proofErr w:type="spellEnd"/>
      <w:r>
        <w:rPr>
          <w:rFonts w:ascii="Tahoma" w:hAnsi="Tahoma" w:cs="Tahoma"/>
          <w:color w:val="000000"/>
          <w:rtl/>
        </w:rPr>
        <w:t xml:space="preserve"> الروماني </w:t>
      </w:r>
      <w:r>
        <w:rPr>
          <w:rFonts w:ascii="Tahoma" w:hAnsi="Tahoma" w:cs="Tahoma"/>
          <w:color w:val="000000"/>
        </w:rPr>
        <w:t>Hippolytus</w:t>
      </w:r>
      <w:r>
        <w:rPr>
          <w:rFonts w:ascii="Tahoma" w:hAnsi="Tahoma" w:cs="Tahoma"/>
          <w:color w:val="000000"/>
          <w:rtl/>
        </w:rPr>
        <w:t xml:space="preserve">. وقوانين </w:t>
      </w:r>
      <w:proofErr w:type="spellStart"/>
      <w:r>
        <w:rPr>
          <w:rFonts w:ascii="Tahoma" w:hAnsi="Tahoma" w:cs="Tahoma"/>
          <w:color w:val="000000"/>
          <w:rtl/>
        </w:rPr>
        <w:t>أبوليدس</w:t>
      </w:r>
      <w:proofErr w:type="spellEnd"/>
      <w:r>
        <w:rPr>
          <w:rFonts w:ascii="Tahoma" w:hAnsi="Tahoma" w:cs="Tahoma"/>
          <w:color w:val="000000"/>
          <w:rtl/>
        </w:rPr>
        <w:t xml:space="preserve"> هذه لا تخرج في شيء من نصوصها عن قوانين الآباء الرسل.</w:t>
      </w:r>
    </w:p>
    <w:p w14:paraId="171A21BE" w14:textId="77777777" w:rsidR="00000000" w:rsidRDefault="00F85D0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>وقد نشرت في مجموعة ابن العسال، وفي مجموعة ابن كبر قوانين مزورة منسوبة إلى الآباء الرسل، مثل (قوانين علية صهيون)، وواضح زيفها من محتوياتها.</w:t>
      </w:r>
    </w:p>
    <w:p w14:paraId="608D3D34" w14:textId="77777777" w:rsidR="00000000" w:rsidRDefault="00F85D08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>(ب) قوانين المجامع المس</w:t>
      </w:r>
      <w:r>
        <w:rPr>
          <w:rStyle w:val="Strong"/>
          <w:rFonts w:ascii="Tahoma" w:hAnsi="Tahoma" w:cs="Tahoma"/>
          <w:color w:val="000000"/>
          <w:rtl/>
        </w:rPr>
        <w:t>كونية:</w:t>
      </w:r>
    </w:p>
    <w:p w14:paraId="2571E329" w14:textId="77777777" w:rsidR="00000000" w:rsidRDefault="00F85D0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>وهي قوانين المجامع المسكونية الثلاثة التي تعترف بها كنيستنا: مجمع نيقية الذي انعقد سنه 325م ومجمع القسطنطينية الذي أجتمع سنه 381م ومجمع أفسس الذي انعقد سنه 430م.</w:t>
      </w:r>
    </w:p>
    <w:p w14:paraId="1D246B9F" w14:textId="77777777" w:rsidR="00000000" w:rsidRDefault="00F85D0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>وأشهره مجمع نيقية المقدس وقوانينه، نسبت إليه قوانين مزورة، كما نسبت قوانين للآباء الرسل</w:t>
      </w:r>
      <w:r>
        <w:rPr>
          <w:rFonts w:ascii="Tahoma" w:hAnsi="Tahoma" w:cs="Tahoma"/>
          <w:color w:val="000000"/>
          <w:rtl/>
        </w:rPr>
        <w:t>.</w:t>
      </w:r>
    </w:p>
    <w:p w14:paraId="1941706E" w14:textId="77777777" w:rsidR="00000000" w:rsidRDefault="00F85D0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>والمعروف أن مجمع نيقية لم يصدر سوى 20 قانونًا فقط. وتوجد مجموعة عربية تشمل 83 قانونًا منسوبة إلى نيقية، وواضح من محتوياتها أنها مجموعة مزورة.</w:t>
      </w:r>
    </w:p>
    <w:p w14:paraId="7E82F23D" w14:textId="77777777" w:rsidR="00000000" w:rsidRDefault="00F85D08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>(ج) قوانين المجامع المقدسة الاقليمية:</w:t>
      </w:r>
    </w:p>
    <w:p w14:paraId="00941CE7" w14:textId="77777777" w:rsidR="00000000" w:rsidRDefault="00F85D0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lastRenderedPageBreak/>
        <w:t>منها ثلاثة مجامع سابقة لمجمع نيقية المسكوني المقدس وهي:</w:t>
      </w:r>
    </w:p>
    <w:p w14:paraId="4D257E71" w14:textId="77777777" w:rsidR="00000000" w:rsidRDefault="00F85D0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>1- مجمع قرطا جنة (</w:t>
      </w:r>
      <w:r>
        <w:rPr>
          <w:rFonts w:ascii="Tahoma" w:hAnsi="Tahoma" w:cs="Tahoma"/>
          <w:color w:val="000000"/>
          <w:rtl/>
        </w:rPr>
        <w:t>سنه 257م) وهو الذي بحث معمودية الهراطقة.</w:t>
      </w:r>
    </w:p>
    <w:p w14:paraId="32709B8E" w14:textId="77777777" w:rsidR="00000000" w:rsidRDefault="00F85D0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 xml:space="preserve">2- مجمع أنقرا (سنه 314م) في السنة التي أصدر فيها الإمبراطور قسطنطين مرسوم ميلان معترفًا بالديانة المسيحية، وقد أصدر هذا المجمع بضع قوانين خاصة بتوبة المرتدين في زمن </w:t>
      </w:r>
      <w:proofErr w:type="spellStart"/>
      <w:r>
        <w:rPr>
          <w:rFonts w:ascii="Tahoma" w:hAnsi="Tahoma" w:cs="Tahoma"/>
          <w:color w:val="000000"/>
          <w:rtl/>
        </w:rPr>
        <w:t>الإضطهاد</w:t>
      </w:r>
      <w:proofErr w:type="spellEnd"/>
      <w:r>
        <w:rPr>
          <w:rFonts w:ascii="Tahoma" w:hAnsi="Tahoma" w:cs="Tahoma"/>
          <w:color w:val="000000"/>
          <w:rtl/>
        </w:rPr>
        <w:t>، وقوانين أخرى خاصة بالإكليروس والأحوال ال</w:t>
      </w:r>
      <w:r>
        <w:rPr>
          <w:rFonts w:ascii="Tahoma" w:hAnsi="Tahoma" w:cs="Tahoma"/>
          <w:color w:val="000000"/>
          <w:rtl/>
        </w:rPr>
        <w:t>شخصية، وعقوبات الزنا والقتل والسحر والعرافة.</w:t>
      </w:r>
    </w:p>
    <w:p w14:paraId="250C681C" w14:textId="77777777" w:rsidR="00000000" w:rsidRDefault="00F85D0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>3- مجمع قيسارية الجديدة (سنه 315م) وتشمل 15 قانونًا، خاصة بالإكليروس وبالأحوال الشخصية، مع قوانين أخرى.</w:t>
      </w:r>
    </w:p>
    <w:p w14:paraId="6802C59F" w14:textId="77777777" w:rsidR="00000000" w:rsidRDefault="00F85D0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>+ وتوجد قوانين أخرى صدرت لمجامع بعد نيقية منها قوانين مجمع غفرا، ومجمع اللاذقية ومجمع قرطاجنة الذي حضره الق</w:t>
      </w:r>
      <w:r>
        <w:rPr>
          <w:rFonts w:ascii="Tahoma" w:hAnsi="Tahoma" w:cs="Tahoma"/>
          <w:color w:val="000000"/>
          <w:rtl/>
        </w:rPr>
        <w:t>ديس أوغسطينوس.</w:t>
      </w:r>
    </w:p>
    <w:p w14:paraId="4D646197" w14:textId="77777777" w:rsidR="00000000" w:rsidRDefault="00F85D08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>(د) قوانين الآباء الكبار:</w:t>
      </w:r>
    </w:p>
    <w:p w14:paraId="1F00CF39" w14:textId="77777777" w:rsidR="00000000" w:rsidRDefault="00F85D0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>ونقصد بهم القديسين معلمي البيعة وقادتها في الفكر اللاهوتي. ومن بين هؤلاء.</w:t>
      </w:r>
    </w:p>
    <w:p w14:paraId="7D1A90B9" w14:textId="77777777" w:rsidR="00000000" w:rsidRDefault="00F85D0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 xml:space="preserve">1- قوانين القديس باسيليوس الكبير رئيس أساقفة </w:t>
      </w:r>
      <w:proofErr w:type="spellStart"/>
      <w:r>
        <w:rPr>
          <w:rFonts w:ascii="Tahoma" w:hAnsi="Tahoma" w:cs="Tahoma"/>
          <w:color w:val="000000"/>
          <w:rtl/>
        </w:rPr>
        <w:t>قيصارية</w:t>
      </w:r>
      <w:proofErr w:type="spellEnd"/>
      <w:r>
        <w:rPr>
          <w:rFonts w:ascii="Tahoma" w:hAnsi="Tahoma" w:cs="Tahoma"/>
          <w:color w:val="000000"/>
          <w:rtl/>
        </w:rPr>
        <w:t xml:space="preserve"> </w:t>
      </w:r>
      <w:proofErr w:type="spellStart"/>
      <w:r>
        <w:rPr>
          <w:rFonts w:ascii="Tahoma" w:hAnsi="Tahoma" w:cs="Tahoma"/>
          <w:color w:val="000000"/>
          <w:rtl/>
        </w:rPr>
        <w:t>الكبادوكية</w:t>
      </w:r>
      <w:proofErr w:type="spellEnd"/>
      <w:r>
        <w:rPr>
          <w:rFonts w:ascii="Tahoma" w:hAnsi="Tahoma" w:cs="Tahoma"/>
          <w:color w:val="000000"/>
          <w:rtl/>
        </w:rPr>
        <w:t xml:space="preserve">، وقد </w:t>
      </w:r>
      <w:proofErr w:type="spellStart"/>
      <w:r>
        <w:rPr>
          <w:rFonts w:ascii="Tahoma" w:hAnsi="Tahoma" w:cs="Tahoma"/>
          <w:color w:val="000000"/>
          <w:rtl/>
        </w:rPr>
        <w:t>نشرما</w:t>
      </w:r>
      <w:proofErr w:type="spellEnd"/>
      <w:r>
        <w:rPr>
          <w:rFonts w:ascii="Tahoma" w:hAnsi="Tahoma" w:cs="Tahoma"/>
          <w:color w:val="000000"/>
          <w:rtl/>
        </w:rPr>
        <w:t xml:space="preserve"> دير السريان بوادي النطرون.</w:t>
      </w:r>
    </w:p>
    <w:p w14:paraId="7F2F134C" w14:textId="77777777" w:rsidR="00000000" w:rsidRDefault="00F85D0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>2- قوانين القديس أثناسيوس الرسولي، وتوج</w:t>
      </w:r>
      <w:r>
        <w:rPr>
          <w:rFonts w:ascii="Tahoma" w:hAnsi="Tahoma" w:cs="Tahoma"/>
          <w:color w:val="000000"/>
          <w:rtl/>
        </w:rPr>
        <w:t xml:space="preserve">د </w:t>
      </w:r>
      <w:proofErr w:type="spellStart"/>
      <w:r>
        <w:rPr>
          <w:rFonts w:ascii="Tahoma" w:hAnsi="Tahoma" w:cs="Tahoma"/>
          <w:color w:val="000000"/>
          <w:rtl/>
        </w:rPr>
        <w:t>بالمنحف</w:t>
      </w:r>
      <w:proofErr w:type="spellEnd"/>
      <w:r>
        <w:rPr>
          <w:rFonts w:ascii="Tahoma" w:hAnsi="Tahoma" w:cs="Tahoma"/>
          <w:color w:val="000000"/>
          <w:rtl/>
        </w:rPr>
        <w:t xml:space="preserve"> القبطي.</w:t>
      </w:r>
    </w:p>
    <w:p w14:paraId="4C0441D2" w14:textId="77777777" w:rsidR="00000000" w:rsidRDefault="00F85D0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>3- قوانين القديس تيموثاوس الإسكندري (البابا 22).</w:t>
      </w:r>
    </w:p>
    <w:p w14:paraId="5A5DEED4" w14:textId="77777777" w:rsidR="00000000" w:rsidRDefault="00F85D0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>وقد نشرت في مجموعة:</w:t>
      </w:r>
    </w:p>
    <w:p w14:paraId="60A0172D" w14:textId="77777777" w:rsidR="00000000" w:rsidRDefault="00F85D0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</w:rPr>
        <w:t>Nicene</w:t>
      </w:r>
      <w:r>
        <w:rPr>
          <w:rFonts w:ascii="Tahoma" w:hAnsi="Tahoma" w:cs="Tahoma"/>
          <w:color w:val="000000"/>
          <w:rtl/>
        </w:rPr>
        <w:t xml:space="preserve"> &amp; </w:t>
      </w:r>
      <w:r>
        <w:rPr>
          <w:rFonts w:ascii="Tahoma" w:hAnsi="Tahoma" w:cs="Tahoma"/>
          <w:color w:val="000000"/>
        </w:rPr>
        <w:t>Post- Nicene Fathers</w:t>
      </w:r>
    </w:p>
    <w:p w14:paraId="78A60338" w14:textId="77777777" w:rsidR="00000000" w:rsidRDefault="00F85D0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>4- قوانين القديس بطرس خاتم الشهداء.</w:t>
      </w:r>
    </w:p>
    <w:p w14:paraId="13D66E70" w14:textId="77777777" w:rsidR="00000000" w:rsidRDefault="00F85D0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 xml:space="preserve">5- قوانين القديس باسيليوس الكبير، وبخاصة </w:t>
      </w:r>
      <w:proofErr w:type="spellStart"/>
      <w:r>
        <w:rPr>
          <w:rFonts w:ascii="Tahoma" w:hAnsi="Tahoma" w:cs="Tahoma"/>
          <w:color w:val="000000"/>
          <w:rtl/>
        </w:rPr>
        <w:t>حروماته</w:t>
      </w:r>
      <w:proofErr w:type="spellEnd"/>
      <w:r>
        <w:rPr>
          <w:rFonts w:ascii="Tahoma" w:hAnsi="Tahoma" w:cs="Tahoma"/>
          <w:color w:val="000000"/>
          <w:rtl/>
        </w:rPr>
        <w:t xml:space="preserve"> التي أصدرها ضد نسطور.</w:t>
      </w:r>
    </w:p>
    <w:p w14:paraId="2457722A" w14:textId="77777777" w:rsidR="00000000" w:rsidRDefault="00F85D0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>6- قوانين القديس يوحنا ذهبي الفم.</w:t>
      </w:r>
    </w:p>
    <w:p w14:paraId="49C386EE" w14:textId="77777777" w:rsidR="00000000" w:rsidRDefault="00F85D0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>وغالبية هذه القوانين توجد في المخطوطات القبطية.</w:t>
      </w:r>
    </w:p>
    <w:p w14:paraId="6D1C31D9" w14:textId="77777777" w:rsidR="00000000" w:rsidRDefault="00F85D08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>(ه) قوانين صدرت في عصور متأخرة:</w:t>
      </w:r>
    </w:p>
    <w:p w14:paraId="6DB1466B" w14:textId="77777777" w:rsidR="00000000" w:rsidRDefault="00F85D0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>مثل قوانين البابا كيرلس بن لقلق، وقوانين البابا غبريال بن تريك.</w:t>
      </w:r>
    </w:p>
    <w:p w14:paraId="44E768FD" w14:textId="77777777" w:rsidR="00000000" w:rsidRDefault="00F85D0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>وهذه في</w:t>
      </w:r>
      <w:r>
        <w:rPr>
          <w:rFonts w:ascii="Tahoma" w:hAnsi="Tahoma" w:cs="Tahoma"/>
          <w:color w:val="000000"/>
          <w:rtl/>
        </w:rPr>
        <w:t xml:space="preserve"> درجة أقل، لأن كل القوانين السابقة تتصف بالصفة المسكونية، أي تعترف بها كل الكنائس الرسولية التقليدية في العالم كله.</w:t>
      </w:r>
    </w:p>
    <w:p w14:paraId="7CB37DF6" w14:textId="77777777" w:rsidR="00000000" w:rsidRDefault="00F85D0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lastRenderedPageBreak/>
        <w:t>أما هذه فقد صدرت في عصور متأخرة، لها الصفة المحلية، ولها تأثيرات عصرها في مقدار علمه ومعرفته..</w:t>
      </w:r>
    </w:p>
    <w:p w14:paraId="0CF42E39" w14:textId="77777777" w:rsidR="00000000" w:rsidRDefault="00F85D08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>حاجتنا إلى جمع القوانين وتنظيمها</w:t>
      </w:r>
    </w:p>
    <w:p w14:paraId="0E9DEAE5" w14:textId="77777777" w:rsidR="00000000" w:rsidRDefault="00F85D0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>الكنيسة تحتا</w:t>
      </w:r>
      <w:r>
        <w:rPr>
          <w:rFonts w:ascii="Tahoma" w:hAnsi="Tahoma" w:cs="Tahoma"/>
          <w:color w:val="000000"/>
          <w:rtl/>
        </w:rPr>
        <w:t>ج إلى مجموعة كاملة مرتبة معتمدة، للقوانين والمراجع القانونية العديدة.</w:t>
      </w:r>
    </w:p>
    <w:p w14:paraId="5B4910C8" w14:textId="77777777" w:rsidR="00000000" w:rsidRDefault="00F85D08">
      <w:pPr>
        <w:rPr>
          <w:rFonts w:eastAsia="Times New Roman"/>
          <w:rtl/>
        </w:rPr>
      </w:pPr>
      <w:r>
        <w:rPr>
          <w:rFonts w:eastAsia="Times New Roman"/>
        </w:rPr>
        <w:pict w14:anchorId="63CDDF60">
          <v:rect id="_x0000_i1025" style="width:0;height:1.5pt" o:hralign="center" o:hrstd="t" o:hr="t" fillcolor="#a0a0a0" stroked="f"/>
        </w:pict>
      </w:r>
    </w:p>
    <w:p w14:paraId="1D15AE56" w14:textId="77777777" w:rsidR="00F85D08" w:rsidRDefault="00F85D08">
      <w:pPr>
        <w:pStyle w:val="NormalWeb"/>
        <w:bidi/>
      </w:pPr>
      <w:r>
        <w:rPr>
          <w:rFonts w:ascii="Tahoma" w:hAnsi="Tahoma" w:cs="Tahoma"/>
          <w:color w:val="000000"/>
          <w:sz w:val="17"/>
          <w:szCs w:val="17"/>
          <w:rtl/>
        </w:rPr>
        <w:t xml:space="preserve">مقال لقداسة البابا </w:t>
      </w:r>
      <w:proofErr w:type="spellStart"/>
      <w:r>
        <w:rPr>
          <w:rFonts w:ascii="Tahoma" w:hAnsi="Tahoma" w:cs="Tahoma"/>
          <w:color w:val="000000"/>
          <w:sz w:val="17"/>
          <w:szCs w:val="17"/>
          <w:rtl/>
        </w:rPr>
        <w:t>شنوده</w:t>
      </w:r>
      <w:proofErr w:type="spellEnd"/>
      <w:r>
        <w:rPr>
          <w:rFonts w:ascii="Tahoma" w:hAnsi="Tahoma" w:cs="Tahoma"/>
          <w:color w:val="000000"/>
          <w:sz w:val="17"/>
          <w:szCs w:val="17"/>
          <w:rtl/>
        </w:rPr>
        <w:t xml:space="preserve"> الثالث نُشر في مجلة الكرزة -السنة التاسعة- العدد الثامن والثلاثون- بتاريخ 22 سبتمبر1978م</w:t>
      </w:r>
    </w:p>
    <w:sectPr w:rsidR="00F85D0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15A"/>
    <w:rsid w:val="000F515A"/>
    <w:rsid w:val="007F5C99"/>
    <w:rsid w:val="00F8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3201E"/>
  <w15:docId w15:val="{DE1AABD0-2434-4430-A28E-4A30F137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PopeShenoda</cp:lastModifiedBy>
  <cp:revision>2</cp:revision>
  <dcterms:created xsi:type="dcterms:W3CDTF">2026-01-08T12:15:00Z</dcterms:created>
  <dcterms:modified xsi:type="dcterms:W3CDTF">2026-01-08T12:15:00Z</dcterms:modified>
</cp:coreProperties>
</file>