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13553" w14:textId="0F993BBA" w:rsidR="00341955" w:rsidRPr="0074540A" w:rsidRDefault="00341955" w:rsidP="00341955">
      <w:pPr>
        <w:jc w:val="center"/>
        <w:rPr>
          <w:rFonts w:ascii="Tajawal" w:hAnsi="Tajawal" w:cs="Tajawal"/>
          <w:b/>
          <w:bCs/>
          <w:sz w:val="48"/>
          <w:szCs w:val="48"/>
          <w:vertAlign w:val="superscript"/>
          <w:rtl/>
          <w:lang w:bidi="ar-EG"/>
        </w:rPr>
      </w:pPr>
      <w:bookmarkStart w:id="0" w:name="_Toc94119868"/>
      <w:bookmarkStart w:id="1" w:name="_Toc116559542"/>
      <w:bookmarkStart w:id="2" w:name="_Toc116561984"/>
      <w:bookmarkStart w:id="3" w:name="_Toc149840359"/>
      <w:r w:rsidRPr="0074540A">
        <w:rPr>
          <w:rFonts w:ascii="Tajawal" w:hAnsi="Tajawal" w:cs="Tajawal"/>
          <w:b/>
          <w:bCs/>
          <w:sz w:val="48"/>
          <w:szCs w:val="48"/>
          <w:rtl/>
          <w:lang w:bidi="ar-EG"/>
        </w:rPr>
        <w:t>التاريخ لم يكتب كل شيء</w:t>
      </w:r>
      <w:bookmarkEnd w:id="0"/>
      <w:bookmarkEnd w:id="1"/>
      <w:bookmarkEnd w:id="2"/>
      <w:bookmarkEnd w:id="3"/>
      <w:r w:rsidR="0074540A" w:rsidRPr="0074540A">
        <w:rPr>
          <w:rStyle w:val="FootnoteReference"/>
          <w:rFonts w:ascii="Tajawal" w:hAnsi="Tajawal" w:cs="Tajawal"/>
          <w:b/>
          <w:bCs/>
          <w:sz w:val="40"/>
          <w:szCs w:val="40"/>
          <w:rtl/>
          <w:lang w:bidi="ar-EG"/>
        </w:rPr>
        <w:footnoteReference w:id="1"/>
      </w:r>
    </w:p>
    <w:p w14:paraId="4FC07E57" w14:textId="77777777" w:rsidR="0074540A" w:rsidRPr="0074540A" w:rsidRDefault="0074540A" w:rsidP="00341955">
      <w:pPr>
        <w:jc w:val="center"/>
        <w:rPr>
          <w:rFonts w:ascii="Tajawal" w:hAnsi="Tajawal" w:cs="Tajawal"/>
          <w:b/>
          <w:bCs/>
          <w:rtl/>
          <w:lang w:bidi="ar-EG"/>
        </w:rPr>
      </w:pPr>
    </w:p>
    <w:p w14:paraId="66E793FB" w14:textId="77777777" w:rsidR="00341955" w:rsidRPr="00341955" w:rsidRDefault="00341955" w:rsidP="00341955">
      <w:pPr>
        <w:widowControl w:val="0"/>
        <w:spacing w:before="40" w:after="40" w:line="257" w:lineRule="auto"/>
        <w:rPr>
          <w:rFonts w:ascii="Tajawal" w:eastAsia="Calibri" w:hAnsi="Tajawal" w:cs="Tajawal"/>
          <w:lang w:bidi="ar-EG"/>
        </w:rPr>
      </w:pPr>
      <w:r w:rsidRPr="00341955">
        <w:rPr>
          <w:rFonts w:ascii="Tajawal" w:eastAsia="Calibri" w:hAnsi="Tajawal" w:cs="Tajawal"/>
          <w:rtl/>
          <w:lang w:bidi="ar-EG"/>
        </w:rPr>
        <w:t>تاريخ العالم ضم عظماء من نوعيات متعددة، منهم رجال الحرب، ورجال السياسة، ومنهم فلاسفة وعلماء وأدباء ومفكرون.. ومنهم شخصيات اجتماعية بارزة.</w:t>
      </w:r>
    </w:p>
    <w:p w14:paraId="5D24F46D" w14:textId="77777777" w:rsidR="00341955" w:rsidRPr="00341955" w:rsidRDefault="00341955" w:rsidP="00341955">
      <w:pPr>
        <w:widowControl w:val="0"/>
        <w:spacing w:before="40" w:after="40" w:line="257" w:lineRule="auto"/>
        <w:rPr>
          <w:rFonts w:ascii="Tajawal" w:eastAsia="Calibri" w:hAnsi="Tajawal" w:cs="Tajawal"/>
          <w:rtl/>
          <w:lang w:bidi="ar-EG"/>
        </w:rPr>
      </w:pPr>
      <w:r w:rsidRPr="00341955">
        <w:rPr>
          <w:rFonts w:ascii="Tajawal" w:eastAsia="Calibri" w:hAnsi="Tajawal" w:cs="Tajawal"/>
          <w:b/>
          <w:bCs/>
          <w:rtl/>
          <w:lang w:bidi="ar-EG"/>
        </w:rPr>
        <w:t>والتاريخ الكنسي سجل ألوانًا أخرى من حياة شخصيات، كان لها دورها البارز في حياة الكنيسة العامة.. في مقدمة هؤلاء الرسل والأنبياء ورؤساء الآباء، كإبراهيم ونوح وأيوب.</w:t>
      </w:r>
      <w:r w:rsidRPr="00341955">
        <w:rPr>
          <w:rFonts w:ascii="Tajawal" w:eastAsia="Calibri" w:hAnsi="Tajawal" w:cs="Tajawal"/>
          <w:rtl/>
          <w:lang w:bidi="ar-EG"/>
        </w:rPr>
        <w:t xml:space="preserve"> </w:t>
      </w:r>
    </w:p>
    <w:p w14:paraId="6DC1D72E" w14:textId="77777777" w:rsidR="00341955" w:rsidRPr="00341955" w:rsidRDefault="00341955" w:rsidP="00341955">
      <w:pPr>
        <w:widowControl w:val="0"/>
        <w:spacing w:before="40" w:after="40" w:line="257" w:lineRule="auto"/>
        <w:rPr>
          <w:rFonts w:ascii="Tajawal" w:eastAsia="Calibri" w:hAnsi="Tajawal" w:cs="Tajawal"/>
          <w:rtl/>
          <w:lang w:bidi="ar-EG"/>
        </w:rPr>
      </w:pPr>
      <w:r w:rsidRPr="00341955">
        <w:rPr>
          <w:rFonts w:ascii="Tajawal" w:eastAsia="Calibri" w:hAnsi="Tajawal" w:cs="Tajawal"/>
          <w:rtl/>
          <w:lang w:bidi="ar-EG"/>
        </w:rPr>
        <w:t xml:space="preserve">وفي مقدمة هؤلاء أيضًا </w:t>
      </w:r>
      <w:r w:rsidRPr="00341955">
        <w:rPr>
          <w:rFonts w:ascii="Tajawal" w:eastAsia="Calibri" w:hAnsi="Tajawal" w:cs="Tajawal"/>
          <w:b/>
          <w:bCs/>
          <w:rtl/>
          <w:lang w:bidi="ar-EG"/>
        </w:rPr>
        <w:t>الشهداء</w:t>
      </w:r>
      <w:r w:rsidRPr="00341955">
        <w:rPr>
          <w:rFonts w:ascii="Tajawal" w:eastAsia="Calibri" w:hAnsi="Tajawal" w:cs="Tajawal"/>
          <w:rtl/>
          <w:lang w:bidi="ar-EG"/>
        </w:rPr>
        <w:t>، الذين بذلوا حياتهم لأجل الرب، و</w:t>
      </w:r>
      <w:r w:rsidRPr="00341955">
        <w:rPr>
          <w:rFonts w:ascii="Tajawal" w:eastAsia="Calibri" w:hAnsi="Tajawal" w:cs="Tajawal"/>
          <w:b/>
          <w:bCs/>
          <w:rtl/>
          <w:lang w:bidi="ar-EG"/>
        </w:rPr>
        <w:t>المعترفون</w:t>
      </w:r>
      <w:r w:rsidRPr="00341955">
        <w:rPr>
          <w:rFonts w:ascii="Tajawal" w:eastAsia="Calibri" w:hAnsi="Tajawal" w:cs="Tajawal"/>
          <w:rtl/>
          <w:lang w:bidi="ar-EG"/>
        </w:rPr>
        <w:t xml:space="preserve"> الذين قبلوا العذاب لأجله. ومشاهير الشهداء معروفون بأسمائهم في التاريخ. وبعض القديسين جمعوا بين الشهادة والنبوة كغالبية رسل المسيح. </w:t>
      </w:r>
    </w:p>
    <w:p w14:paraId="4068FAE5" w14:textId="77777777" w:rsidR="00341955" w:rsidRPr="00341955" w:rsidRDefault="00341955" w:rsidP="00341955">
      <w:pPr>
        <w:widowControl w:val="0"/>
        <w:spacing w:before="40" w:after="40" w:line="257" w:lineRule="auto"/>
        <w:rPr>
          <w:rFonts w:ascii="Tajawal" w:eastAsia="Calibri" w:hAnsi="Tajawal" w:cs="Tajawal"/>
          <w:b/>
          <w:bCs/>
          <w:rtl/>
          <w:lang w:bidi="ar-EG"/>
        </w:rPr>
      </w:pPr>
      <w:r w:rsidRPr="00341955">
        <w:rPr>
          <w:rFonts w:ascii="Tajawal" w:eastAsia="Calibri" w:hAnsi="Tajawal" w:cs="Tajawal"/>
          <w:b/>
          <w:bCs/>
          <w:rtl/>
          <w:lang w:bidi="ar-EG"/>
        </w:rPr>
        <w:t>وهناك آلاف من الشهداء لم يكتب التاريخ أسماءهم ولكن الرب يعرفهم بأسمائهم.</w:t>
      </w:r>
    </w:p>
    <w:p w14:paraId="166DEE59" w14:textId="77777777" w:rsidR="00341955" w:rsidRPr="00341955" w:rsidRDefault="00341955" w:rsidP="00341955">
      <w:pPr>
        <w:widowControl w:val="0"/>
        <w:spacing w:before="40" w:after="40" w:line="257" w:lineRule="auto"/>
        <w:rPr>
          <w:rFonts w:ascii="Tajawal" w:eastAsia="Calibri" w:hAnsi="Tajawal" w:cs="Tajawal"/>
          <w:rtl/>
          <w:lang w:bidi="ar-EG"/>
        </w:rPr>
      </w:pPr>
      <w:r w:rsidRPr="00341955">
        <w:rPr>
          <w:rFonts w:ascii="Tajawal" w:eastAsia="Calibri" w:hAnsi="Tajawal" w:cs="Tajawal"/>
          <w:rtl/>
          <w:lang w:bidi="ar-EG"/>
        </w:rPr>
        <w:t>من بين هؤلاء مدن كانت تستشهد بأكملها، كما حدث في إسنا وفي أخميم، وكما حدث في الكتيبة الطيبية، وفي حادث الثلاثين ألفًا الذين استشهدوا جميعهم في يوم واحد.</w:t>
      </w:r>
    </w:p>
    <w:p w14:paraId="125D86EE" w14:textId="77777777" w:rsidR="00341955" w:rsidRPr="00341955" w:rsidRDefault="00341955" w:rsidP="00341955">
      <w:pPr>
        <w:widowControl w:val="0"/>
        <w:spacing w:before="40" w:after="40" w:line="257" w:lineRule="auto"/>
        <w:rPr>
          <w:rFonts w:ascii="Tajawal" w:eastAsia="Calibri" w:hAnsi="Tajawal" w:cs="Tajawal"/>
          <w:rtl/>
          <w:lang w:bidi="ar-EG"/>
        </w:rPr>
      </w:pPr>
      <w:r w:rsidRPr="00341955">
        <w:rPr>
          <w:rFonts w:ascii="Tajawal" w:eastAsia="Calibri" w:hAnsi="Tajawal" w:cs="Tajawal"/>
          <w:b/>
          <w:bCs/>
          <w:rtl/>
          <w:lang w:bidi="ar-EG"/>
        </w:rPr>
        <w:t xml:space="preserve">ونحن لا نعرف سوى أسماء بارزة من الشهداء، </w:t>
      </w:r>
      <w:r w:rsidRPr="00341955">
        <w:rPr>
          <w:rFonts w:ascii="Tajawal" w:eastAsia="Calibri" w:hAnsi="Tajawal" w:cs="Tajawal"/>
          <w:rtl/>
          <w:lang w:bidi="ar-EG"/>
        </w:rPr>
        <w:t xml:space="preserve">أما الغالبية الساحقة فلا نعرف أسماءها. وليس هذا بعجيب! </w:t>
      </w:r>
      <w:r w:rsidRPr="00341955">
        <w:rPr>
          <w:rFonts w:ascii="Tajawal" w:eastAsia="Calibri" w:hAnsi="Tajawal" w:cs="Tajawal"/>
          <w:b/>
          <w:bCs/>
          <w:rtl/>
          <w:lang w:bidi="ar-EG"/>
        </w:rPr>
        <w:t xml:space="preserve">إيليا النبي ما كان يعرف "أسماء" السبعة آلاف ركبة التي لم تنحن للبعل </w:t>
      </w:r>
      <w:r w:rsidRPr="00341955">
        <w:rPr>
          <w:rFonts w:ascii="Tajawal" w:eastAsia="Calibri" w:hAnsi="Tajawal" w:cs="Tajawal"/>
          <w:rtl/>
          <w:lang w:bidi="ar-EG"/>
        </w:rPr>
        <w:t>ولكن الرب كان يعرفهم جميعًا.</w:t>
      </w:r>
    </w:p>
    <w:p w14:paraId="290E0D96" w14:textId="77777777" w:rsidR="00341955" w:rsidRPr="00341955" w:rsidRDefault="00341955" w:rsidP="00341955">
      <w:pPr>
        <w:widowControl w:val="0"/>
        <w:spacing w:before="40" w:after="40" w:line="257" w:lineRule="auto"/>
        <w:rPr>
          <w:rFonts w:ascii="Tajawal" w:eastAsia="Calibri" w:hAnsi="Tajawal" w:cs="Tajawal"/>
          <w:b/>
          <w:bCs/>
          <w:rtl/>
          <w:lang w:bidi="ar-EG"/>
        </w:rPr>
      </w:pPr>
      <w:r w:rsidRPr="00341955">
        <w:rPr>
          <w:rFonts w:ascii="Tajawal" w:eastAsia="Calibri" w:hAnsi="Tajawal" w:cs="Tajawal"/>
          <w:rtl/>
          <w:lang w:bidi="ar-EG"/>
        </w:rPr>
        <w:t xml:space="preserve">ومع أن التاريخ لم يكتب أسماءهم، إلا أنهم مكتوبون في سفر الحياة... </w:t>
      </w:r>
      <w:r w:rsidRPr="00341955">
        <w:rPr>
          <w:rFonts w:ascii="Tajawal" w:eastAsia="Calibri" w:hAnsi="Tajawal" w:cs="Tajawal"/>
          <w:b/>
          <w:bCs/>
          <w:rtl/>
          <w:lang w:bidi="ar-EG"/>
        </w:rPr>
        <w:t xml:space="preserve">هناك سفر عدد آخر غير الذي كتبه موسى. وفي ذلك السفر، كل أولاد </w:t>
      </w:r>
      <w:r w:rsidRPr="00341955">
        <w:rPr>
          <w:rFonts w:ascii="Tajawal" w:eastAsia="Calibri" w:hAnsi="Tajawal" w:cs="Tajawal"/>
          <w:b/>
          <w:bCs/>
          <w:rtl/>
          <w:lang w:bidi="ar-EG"/>
        </w:rPr>
        <w:lastRenderedPageBreak/>
        <w:t>الله، بعددهم، وأسماءهم وحياتهم.</w:t>
      </w:r>
    </w:p>
    <w:p w14:paraId="1B2C0504" w14:textId="77777777" w:rsidR="00341955" w:rsidRPr="00341955" w:rsidRDefault="00341955" w:rsidP="00341955">
      <w:pPr>
        <w:widowControl w:val="0"/>
        <w:spacing w:before="40" w:after="40" w:line="257" w:lineRule="auto"/>
        <w:rPr>
          <w:rFonts w:ascii="Tajawal" w:eastAsia="Calibri" w:hAnsi="Tajawal" w:cs="Tajawal"/>
          <w:rtl/>
          <w:lang w:bidi="ar-EG"/>
        </w:rPr>
      </w:pPr>
      <w:r w:rsidRPr="00341955">
        <w:rPr>
          <w:rFonts w:ascii="Tajawal" w:eastAsia="Calibri" w:hAnsi="Tajawal" w:cs="Tajawal"/>
          <w:b/>
          <w:bCs/>
          <w:rtl/>
          <w:lang w:bidi="ar-EG"/>
        </w:rPr>
        <w:t>ما أفقر التاريخ! وما أقل معلوماته!</w:t>
      </w:r>
      <w:r w:rsidRPr="00341955">
        <w:rPr>
          <w:rFonts w:ascii="Tajawal" w:eastAsia="Calibri" w:hAnsi="Tajawal" w:cs="Tajawal"/>
          <w:rtl/>
          <w:lang w:bidi="ar-EG"/>
        </w:rPr>
        <w:t xml:space="preserve"> </w:t>
      </w:r>
    </w:p>
    <w:p w14:paraId="02C935E9" w14:textId="77777777" w:rsidR="00341955" w:rsidRPr="00341955" w:rsidRDefault="00341955" w:rsidP="00341955">
      <w:pPr>
        <w:widowControl w:val="0"/>
        <w:spacing w:before="40" w:after="40" w:line="257" w:lineRule="auto"/>
        <w:rPr>
          <w:rFonts w:ascii="Tajawal" w:eastAsia="Calibri" w:hAnsi="Tajawal" w:cs="Tajawal"/>
          <w:rtl/>
          <w:lang w:bidi="ar-EG"/>
        </w:rPr>
      </w:pPr>
      <w:r w:rsidRPr="00341955">
        <w:rPr>
          <w:rFonts w:ascii="Tajawal" w:eastAsia="Calibri" w:hAnsi="Tajawal" w:cs="Tajawal"/>
          <w:rtl/>
          <w:lang w:bidi="ar-EG"/>
        </w:rPr>
        <w:t>لقد سجل بعض ما وصل إليه. ولكن ما وصل إليه، لم يكن كل شيء، ولم يكن الأعظم، وبخاصة في المجال الروحي، الذي يكون فيه إخفاء الفضائل أعظم من إعلانها... مثال ذلك ظاهر في تاريخ الرهبنة. هناك قديسون زارهم سائحون أجانب مثل بلاديوس وجيروم وروفينوس وكاسيان، وكتبوا لنا أسماءهم وسير حياتهم. ولكن متوحدين كثيرين، عاشوا في عمق القداسة، مختفين عن الناس، وكانوا أعظم عند الله، ولم يعرفهم التاريخ، ولا كتب عنهم!</w:t>
      </w:r>
    </w:p>
    <w:p w14:paraId="7C25DBBF" w14:textId="77777777" w:rsidR="00341955" w:rsidRPr="00341955" w:rsidRDefault="00341955" w:rsidP="00341955">
      <w:pPr>
        <w:widowControl w:val="0"/>
        <w:spacing w:before="40" w:after="40" w:line="257" w:lineRule="auto"/>
        <w:rPr>
          <w:rFonts w:ascii="Tajawal" w:eastAsia="Calibri" w:hAnsi="Tajawal" w:cs="Tajawal"/>
          <w:b/>
          <w:bCs/>
          <w:rtl/>
          <w:lang w:bidi="ar-EG"/>
        </w:rPr>
      </w:pPr>
      <w:r w:rsidRPr="00341955">
        <w:rPr>
          <w:rFonts w:ascii="Tajawal" w:eastAsia="Calibri" w:hAnsi="Tajawal" w:cs="Tajawal"/>
          <w:b/>
          <w:bCs/>
          <w:rtl/>
          <w:lang w:bidi="ar-EG"/>
        </w:rPr>
        <w:t>ومثل هذا نقوله عن الآباء السواح.</w:t>
      </w:r>
      <w:r w:rsidRPr="00341955">
        <w:rPr>
          <w:rFonts w:ascii="Tajawal" w:eastAsia="Calibri" w:hAnsi="Tajawal" w:cs="Tajawal"/>
          <w:rtl/>
          <w:lang w:bidi="ar-EG"/>
        </w:rPr>
        <w:t xml:space="preserve"> بعض منهم سمح الله أن يزورهم قديسون، ويكتبوا عنهم، وحتى ما كتبوه، ليس هو كل حياتهم، إنما هو الإطار الخارجي فقط لتلك الحياة.. </w:t>
      </w:r>
      <w:r w:rsidRPr="00341955">
        <w:rPr>
          <w:rFonts w:ascii="Tajawal" w:eastAsia="Calibri" w:hAnsi="Tajawal" w:cs="Tajawal"/>
          <w:b/>
          <w:bCs/>
          <w:rtl/>
          <w:lang w:bidi="ar-EG"/>
        </w:rPr>
        <w:t xml:space="preserve">وسواح آخرون لا يعرف التاريخ عنهم شيئًا، لأنهم كانوا أعظم من التاريخ. اختفوا عنه تمامًا، حبًا في الله. </w:t>
      </w:r>
    </w:p>
    <w:p w14:paraId="536C1FC1" w14:textId="77777777" w:rsidR="00341955" w:rsidRPr="00341955" w:rsidRDefault="00341955" w:rsidP="00341955">
      <w:pPr>
        <w:widowControl w:val="0"/>
        <w:spacing w:before="40" w:after="40" w:line="257" w:lineRule="auto"/>
        <w:rPr>
          <w:rFonts w:ascii="Tajawal" w:eastAsia="Calibri" w:hAnsi="Tajawal" w:cs="Tajawal"/>
          <w:rtl/>
          <w:lang w:bidi="ar-EG"/>
        </w:rPr>
      </w:pPr>
      <w:r w:rsidRPr="00341955">
        <w:rPr>
          <w:rFonts w:ascii="Tajawal" w:eastAsia="Calibri" w:hAnsi="Tajawal" w:cs="Tajawal"/>
          <w:b/>
          <w:bCs/>
          <w:rtl/>
          <w:lang w:bidi="ar-EG"/>
        </w:rPr>
        <w:t>الله وحده هو الذي كتب تاريخ هؤلاء في سفر سنقرأه في الأبدية.</w:t>
      </w:r>
    </w:p>
    <w:p w14:paraId="760B1922" w14:textId="77777777" w:rsidR="00341955" w:rsidRPr="00341955" w:rsidRDefault="00341955" w:rsidP="00341955">
      <w:pPr>
        <w:widowControl w:val="0"/>
        <w:spacing w:before="40" w:after="40" w:line="257" w:lineRule="auto"/>
        <w:rPr>
          <w:rFonts w:ascii="Tajawal" w:eastAsia="Calibri" w:hAnsi="Tajawal" w:cs="Tajawal"/>
          <w:rtl/>
          <w:lang w:bidi="ar-EG"/>
        </w:rPr>
      </w:pPr>
      <w:r w:rsidRPr="00341955">
        <w:rPr>
          <w:rFonts w:ascii="Tajawal" w:eastAsia="Calibri" w:hAnsi="Tajawal" w:cs="Tajawal"/>
          <w:rtl/>
          <w:lang w:bidi="ar-EG"/>
        </w:rPr>
        <w:t>إن الأعمال الظاهرة، مثل تأليف الكتب، والعظات المكتوبة، هذه سجلها التاريخ... ولكن كم من عظات عميقة، لم يكتب عنها التاريخ شيئًا، وكان لها تأثيرها!</w:t>
      </w:r>
    </w:p>
    <w:p w14:paraId="22D02E61" w14:textId="77777777" w:rsidR="00341955" w:rsidRPr="00341955" w:rsidRDefault="00341955" w:rsidP="00341955">
      <w:pPr>
        <w:widowControl w:val="0"/>
        <w:spacing w:before="40" w:after="40" w:line="257" w:lineRule="auto"/>
        <w:rPr>
          <w:rFonts w:ascii="Tajawal" w:eastAsia="Calibri" w:hAnsi="Tajawal" w:cs="Tajawal"/>
          <w:rtl/>
          <w:lang w:bidi="ar-EG"/>
        </w:rPr>
      </w:pPr>
      <w:r w:rsidRPr="00341955">
        <w:rPr>
          <w:rFonts w:ascii="Tajawal" w:eastAsia="Calibri" w:hAnsi="Tajawal" w:cs="Tajawal"/>
          <w:b/>
          <w:bCs/>
          <w:rtl/>
          <w:lang w:bidi="ar-EG"/>
        </w:rPr>
        <w:t>وبالمثل نقول عن عظات المسيح ومعجزاته</w:t>
      </w:r>
      <w:r w:rsidRPr="00341955">
        <w:rPr>
          <w:rFonts w:ascii="Tajawal" w:eastAsia="Calibri" w:hAnsi="Tajawal" w:cs="Tajawal"/>
          <w:rtl/>
          <w:lang w:bidi="ar-EG"/>
        </w:rPr>
        <w:t>.</w:t>
      </w:r>
    </w:p>
    <w:p w14:paraId="279010FD" w14:textId="77777777" w:rsidR="00341955" w:rsidRPr="00341955" w:rsidRDefault="00341955" w:rsidP="00341955">
      <w:pPr>
        <w:widowControl w:val="0"/>
        <w:spacing w:before="40" w:after="40" w:line="257" w:lineRule="auto"/>
        <w:rPr>
          <w:rFonts w:ascii="Tajawal" w:eastAsia="Calibri" w:hAnsi="Tajawal" w:cs="Tajawal"/>
          <w:b/>
          <w:bCs/>
          <w:rtl/>
          <w:lang w:bidi="ar-EG"/>
        </w:rPr>
      </w:pPr>
      <w:r w:rsidRPr="00341955">
        <w:rPr>
          <w:rFonts w:ascii="Tajawal" w:eastAsia="Calibri" w:hAnsi="Tajawal" w:cs="Tajawal"/>
          <w:rtl/>
          <w:lang w:bidi="ar-EG"/>
        </w:rPr>
        <w:t xml:space="preserve">أمثلة قليلة سجلها الرسل، وتركوا الباقي (يو20: 30) (يو21: 25). </w:t>
      </w:r>
      <w:r w:rsidRPr="00341955">
        <w:rPr>
          <w:rFonts w:ascii="Tajawal" w:eastAsia="Calibri" w:hAnsi="Tajawal" w:cs="Tajawal"/>
          <w:b/>
          <w:bCs/>
          <w:rtl/>
          <w:lang w:bidi="ar-EG"/>
        </w:rPr>
        <w:t xml:space="preserve">ما أفقر التاريخ! </w:t>
      </w:r>
    </w:p>
    <w:p w14:paraId="5CE873E7" w14:textId="77777777" w:rsidR="00341955" w:rsidRPr="00341955" w:rsidRDefault="00341955" w:rsidP="00341955">
      <w:pPr>
        <w:widowControl w:val="0"/>
        <w:spacing w:before="40" w:after="40" w:line="257" w:lineRule="auto"/>
        <w:rPr>
          <w:rFonts w:ascii="Tajawal" w:eastAsia="Calibri" w:hAnsi="Tajawal" w:cs="Tajawal"/>
          <w:b/>
          <w:bCs/>
          <w:rtl/>
          <w:lang w:bidi="ar-EG"/>
        </w:rPr>
      </w:pPr>
      <w:r w:rsidRPr="00341955">
        <w:rPr>
          <w:rFonts w:ascii="Tajawal" w:eastAsia="Calibri" w:hAnsi="Tajawal" w:cs="Tajawal"/>
          <w:b/>
          <w:bCs/>
          <w:rtl/>
          <w:lang w:bidi="ar-EG"/>
        </w:rPr>
        <w:t>وماذا نقول عن 12 قرنًا مضت، تكاسل فيها التاريخ الكنسي، ولم يرفع ريشته ليكتب، إلا في النادر!!</w:t>
      </w:r>
    </w:p>
    <w:p w14:paraId="60997522" w14:textId="77777777" w:rsidR="006234B6" w:rsidRPr="0074540A" w:rsidRDefault="006234B6" w:rsidP="003F09E7">
      <w:pPr>
        <w:spacing w:after="0"/>
        <w:rPr>
          <w:rFonts w:ascii="Tajawal" w:hAnsi="Tajawal" w:cs="Tajawal"/>
          <w:lang w:bidi="ar-EG"/>
        </w:rPr>
      </w:pPr>
    </w:p>
    <w:sectPr w:rsidR="006234B6" w:rsidRPr="0074540A"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04951AA0" w14:textId="6C7E1783" w:rsidR="0074540A" w:rsidRDefault="0074540A" w:rsidP="0074540A">
      <w:pPr>
        <w:pStyle w:val="FootnoteText"/>
        <w:rPr>
          <w:rFonts w:hint="cs"/>
          <w:lang w:bidi="ar-EG"/>
        </w:rPr>
      </w:pPr>
      <w:r>
        <w:rPr>
          <w:rStyle w:val="FootnoteReference"/>
        </w:rPr>
        <w:footnoteRef/>
      </w:r>
      <w:r>
        <w:rPr>
          <w:rtl/>
        </w:rPr>
        <w:t xml:space="preserve"> </w:t>
      </w:r>
      <w:r w:rsidRPr="0074540A">
        <w:rPr>
          <w:rFonts w:hint="cs"/>
          <w:rtl/>
        </w:rPr>
        <w:t xml:space="preserve">مقال لقداسة البابا شنوده الثالث - بمجلة الكرازة - السنة </w:t>
      </w:r>
      <w:r>
        <w:rPr>
          <w:rFonts w:hint="cs"/>
          <w:rtl/>
        </w:rPr>
        <w:t>الحادية</w:t>
      </w:r>
      <w:r w:rsidRPr="0074540A">
        <w:rPr>
          <w:rFonts w:hint="cs"/>
          <w:rtl/>
        </w:rPr>
        <w:t xml:space="preserve"> عشرة </w:t>
      </w:r>
      <w:r w:rsidRPr="0074540A">
        <w:rPr>
          <w:rtl/>
        </w:rPr>
        <w:t>–</w:t>
      </w:r>
      <w:r w:rsidRPr="0074540A">
        <w:rPr>
          <w:rFonts w:hint="cs"/>
          <w:rtl/>
        </w:rPr>
        <w:t xml:space="preserve"> العدد</w:t>
      </w:r>
      <w:r>
        <w:rPr>
          <w:rFonts w:hint="cs"/>
          <w:rtl/>
        </w:rPr>
        <w:t xml:space="preserve"> الثالث والأربعون 24-10-1980م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F474E"/>
    <w:rsid w:val="00341955"/>
    <w:rsid w:val="003613B2"/>
    <w:rsid w:val="003779A8"/>
    <w:rsid w:val="003F09E7"/>
    <w:rsid w:val="004568C6"/>
    <w:rsid w:val="006234B6"/>
    <w:rsid w:val="006252F8"/>
    <w:rsid w:val="006D2588"/>
    <w:rsid w:val="0074540A"/>
    <w:rsid w:val="00746A50"/>
    <w:rsid w:val="00987980"/>
    <w:rsid w:val="009A1D90"/>
    <w:rsid w:val="00AD2D0A"/>
    <w:rsid w:val="00AE400E"/>
    <w:rsid w:val="00B22F9E"/>
    <w:rsid w:val="00C1564B"/>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3419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1955"/>
    <w:rPr>
      <w:rFonts w:ascii="Simplified Arabic" w:hAnsi="Simplified Arabic" w:cs="Simplified Arabic"/>
      <w:sz w:val="20"/>
      <w:szCs w:val="20"/>
    </w:rPr>
  </w:style>
  <w:style w:type="character" w:styleId="FootnoteReference">
    <w:name w:val="footnote reference"/>
    <w:uiPriority w:val="99"/>
    <w:unhideWhenUsed/>
    <w:rsid w:val="003419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03197-C717-4189-9E2E-171F9B174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15</cp:revision>
  <dcterms:created xsi:type="dcterms:W3CDTF">2024-09-26T11:03:00Z</dcterms:created>
  <dcterms:modified xsi:type="dcterms:W3CDTF">2024-11-11T09:11:00Z</dcterms:modified>
</cp:coreProperties>
</file>