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D5E74" w14:textId="270348BF" w:rsidR="00804281" w:rsidRPr="009C0E8D" w:rsidRDefault="00804281" w:rsidP="00804281">
      <w:pPr>
        <w:jc w:val="center"/>
        <w:rPr>
          <w:rFonts w:ascii="Tajawal" w:hAnsi="Tajawal" w:cs="Tajawal"/>
          <w:b/>
          <w:bCs/>
          <w:noProof/>
          <w:sz w:val="48"/>
          <w:szCs w:val="48"/>
          <w:vertAlign w:val="superscript"/>
          <w:rtl/>
          <w:lang w:eastAsia="zh-CN" w:bidi="ar-EG"/>
        </w:rPr>
      </w:pPr>
      <w:bookmarkStart w:id="0" w:name="_Toc96640400"/>
      <w:r w:rsidRPr="009C0E8D">
        <w:rPr>
          <w:rFonts w:ascii="Tajawal" w:hAnsi="Tajawal" w:cs="Tajawal"/>
          <w:b/>
          <w:bCs/>
          <w:noProof/>
          <w:sz w:val="48"/>
          <w:szCs w:val="48"/>
          <w:rtl/>
          <w:lang w:eastAsia="zh-CN" w:bidi="ar-EG"/>
        </w:rPr>
        <w:t>القديس مقاريوس الكبير</w:t>
      </w:r>
      <w:bookmarkEnd w:id="0"/>
      <w:r w:rsidR="009C0E8D" w:rsidRPr="009C0E8D">
        <w:rPr>
          <w:rStyle w:val="FootnoteReference"/>
          <w:rFonts w:ascii="Tajawal" w:hAnsi="Tajawal" w:cs="Tajawal"/>
          <w:b/>
          <w:bCs/>
          <w:noProof/>
          <w:sz w:val="40"/>
          <w:szCs w:val="40"/>
          <w:rtl/>
          <w:lang w:eastAsia="zh-CN" w:bidi="ar-EG"/>
        </w:rPr>
        <w:footnoteReference w:id="1"/>
      </w:r>
    </w:p>
    <w:p w14:paraId="19C01581" w14:textId="77777777" w:rsidR="00804281" w:rsidRPr="009C0E8D" w:rsidRDefault="00804281" w:rsidP="00804281">
      <w:pPr>
        <w:jc w:val="center"/>
        <w:rPr>
          <w:rFonts w:ascii="Tajawal" w:hAnsi="Tajawal" w:cs="Tajawal"/>
          <w:b/>
          <w:bCs/>
          <w:noProof/>
          <w:rtl/>
          <w:lang w:eastAsia="zh-CN" w:bidi="ar-EG"/>
        </w:rPr>
      </w:pPr>
    </w:p>
    <w:p w14:paraId="7F7D4787" w14:textId="6445FECB" w:rsidR="00804281" w:rsidRPr="00804281" w:rsidRDefault="00804281" w:rsidP="00804281">
      <w:pPr>
        <w:spacing w:after="200" w:line="276" w:lineRule="auto"/>
        <w:rPr>
          <w:rFonts w:ascii="Tajawal" w:eastAsia="Calibri" w:hAnsi="Tajawal" w:cs="Tajawal"/>
          <w:lang w:bidi="ar-EG"/>
        </w:rPr>
      </w:pPr>
      <w:r w:rsidRPr="00804281">
        <w:rPr>
          <w:rFonts w:ascii="Tajawal" w:eastAsia="Calibri" w:hAnsi="Tajawal" w:cs="Tajawal"/>
          <w:b/>
          <w:bCs/>
          <w:rtl/>
          <w:lang w:bidi="ar-EG"/>
        </w:rPr>
        <w:t xml:space="preserve">هو مؤسس الرهبنة في برية شيهيت المقدسة، </w:t>
      </w:r>
      <w:r w:rsidRPr="00804281">
        <w:rPr>
          <w:rFonts w:ascii="Tajawal" w:eastAsia="Calibri" w:hAnsi="Tajawal" w:cs="Tajawal"/>
          <w:rtl/>
          <w:lang w:bidi="ar-EG"/>
        </w:rPr>
        <w:t>التي تدعي "إسقيط مقاريوس" ومن كلمة "</w:t>
      </w:r>
      <w:r w:rsidR="005942B8" w:rsidRPr="009C0E8D">
        <w:rPr>
          <w:rFonts w:ascii="Tajawal" w:eastAsia="Calibri" w:hAnsi="Tajawal" w:cs="Tajawal"/>
          <w:rtl/>
          <w:lang w:bidi="ar-EG"/>
        </w:rPr>
        <w:t>إ</w:t>
      </w:r>
      <w:r w:rsidRPr="00804281">
        <w:rPr>
          <w:rFonts w:ascii="Tajawal" w:eastAsia="Calibri" w:hAnsi="Tajawal" w:cs="Tajawal"/>
          <w:rtl/>
          <w:lang w:bidi="ar-EG"/>
        </w:rPr>
        <w:t xml:space="preserve">سقيط" أخذت الحياة النسكية في باقي اللغات </w:t>
      </w:r>
      <w:r w:rsidRPr="00804281">
        <w:rPr>
          <w:rFonts w:ascii="Tajawal" w:eastAsia="Calibri" w:hAnsi="Tajawal" w:cs="Tajawal"/>
          <w:lang w:bidi="ar-EG"/>
        </w:rPr>
        <w:t>Ascetic Life</w:t>
      </w:r>
    </w:p>
    <w:p w14:paraId="042DF983" w14:textId="77777777" w:rsidR="00804281" w:rsidRPr="00804281" w:rsidRDefault="00804281" w:rsidP="00804281">
      <w:pPr>
        <w:spacing w:after="200" w:line="276" w:lineRule="auto"/>
        <w:rPr>
          <w:rFonts w:ascii="Tajawal" w:eastAsia="Calibri" w:hAnsi="Tajawal" w:cs="Tajawal"/>
          <w:b/>
          <w:bCs/>
          <w:rtl/>
          <w:lang w:bidi="ar-EG"/>
        </w:rPr>
      </w:pPr>
      <w:r w:rsidRPr="00804281">
        <w:rPr>
          <w:rFonts w:ascii="Tajawal" w:eastAsia="Calibri" w:hAnsi="Tajawal" w:cs="Tajawal"/>
          <w:b/>
          <w:bCs/>
          <w:rtl/>
          <w:lang w:bidi="ar-EG"/>
        </w:rPr>
        <w:t xml:space="preserve">ولد سنة 300م. وتنيح سنة 390م. </w:t>
      </w:r>
      <w:r w:rsidRPr="00804281">
        <w:rPr>
          <w:rFonts w:ascii="Tajawal" w:eastAsia="Calibri" w:hAnsi="Tajawal" w:cs="Tajawal"/>
          <w:rtl/>
          <w:lang w:bidi="ar-EG"/>
        </w:rPr>
        <w:t>وعاش أكثر من ستين سنة في الرهبنة، زار القديس أنطونيوس الكبير، الذي ألبسه الإسكيم، وزوّده بتعاليمه الرهبانية، وقال عنه: إن قوة عظيمة تخرج من هاتين اليدين.</w:t>
      </w:r>
      <w:r w:rsidRPr="00804281">
        <w:rPr>
          <w:rFonts w:ascii="Tajawal" w:eastAsia="Calibri" w:hAnsi="Tajawal" w:cs="Tajawal"/>
          <w:b/>
          <w:bCs/>
          <w:rtl/>
          <w:lang w:bidi="ar-EG"/>
        </w:rPr>
        <w:t xml:space="preserve"> زوّجه والداه في شبابه، وعاش بتولًا، </w:t>
      </w:r>
      <w:r w:rsidRPr="00804281">
        <w:rPr>
          <w:rFonts w:ascii="Tajawal" w:eastAsia="Calibri" w:hAnsi="Tajawal" w:cs="Tajawal"/>
          <w:rtl/>
          <w:lang w:bidi="ar-EG"/>
        </w:rPr>
        <w:t>وتوفيت زوجته كعذراء وذهب للرهبنة. وشابهه في هذا بعض الآباء الكبار، مثل القديس الأنبا آمون أب منطقة سيليا (القلالي)، والأنبا يحنس كاما قديس دير السريان. كما أن القديس بولس البسيط سبق له الزواج أيضا...</w:t>
      </w:r>
    </w:p>
    <w:p w14:paraId="72C9C69E" w14:textId="51DB50E9" w:rsidR="00804281" w:rsidRPr="00804281" w:rsidRDefault="00804281" w:rsidP="00804281">
      <w:pPr>
        <w:spacing w:after="200" w:line="276" w:lineRule="auto"/>
        <w:rPr>
          <w:rFonts w:ascii="Tajawal" w:eastAsia="Calibri" w:hAnsi="Tajawal" w:cs="Tajawal"/>
          <w:b/>
          <w:bCs/>
          <w:rtl/>
          <w:lang w:bidi="ar-EG"/>
        </w:rPr>
      </w:pPr>
      <w:r w:rsidRPr="00804281">
        <w:rPr>
          <w:rFonts w:ascii="Tajawal" w:eastAsia="Calibri" w:hAnsi="Tajawal" w:cs="Tajawal"/>
          <w:b/>
          <w:bCs/>
          <w:rtl/>
          <w:lang w:bidi="ar-EG"/>
        </w:rPr>
        <w:t xml:space="preserve">أول كنيسة أسسها هي كنيسة البراموس، </w:t>
      </w:r>
      <w:r w:rsidRPr="00804281">
        <w:rPr>
          <w:rFonts w:ascii="Tajawal" w:eastAsia="Calibri" w:hAnsi="Tajawal" w:cs="Tajawal"/>
          <w:rtl/>
          <w:lang w:bidi="ar-EG"/>
        </w:rPr>
        <w:t>وكلمة البراموس قبطية معناها الخاصة بالرومانيين، نسبة إل</w:t>
      </w:r>
      <w:r w:rsidR="005942B8" w:rsidRPr="009C0E8D">
        <w:rPr>
          <w:rFonts w:ascii="Tajawal" w:eastAsia="Calibri" w:hAnsi="Tajawal" w:cs="Tajawal"/>
          <w:rtl/>
          <w:lang w:bidi="ar-EG"/>
        </w:rPr>
        <w:t>ى</w:t>
      </w:r>
      <w:r w:rsidRPr="00804281">
        <w:rPr>
          <w:rFonts w:ascii="Tajawal" w:eastAsia="Calibri" w:hAnsi="Tajawal" w:cs="Tajawal"/>
          <w:rtl/>
          <w:lang w:bidi="ar-EG"/>
        </w:rPr>
        <w:t xml:space="preserve"> الأميرين الرومانيين مكسيموس ودوماديوس اللذين رهبنهما القديس مقاريوس.</w:t>
      </w:r>
    </w:p>
    <w:p w14:paraId="41D585CC" w14:textId="05F9415D" w:rsidR="00804281" w:rsidRPr="00804281" w:rsidRDefault="00804281" w:rsidP="00804281">
      <w:pPr>
        <w:spacing w:after="200" w:line="276" w:lineRule="auto"/>
        <w:rPr>
          <w:rFonts w:ascii="Tajawal" w:eastAsia="Calibri" w:hAnsi="Tajawal" w:cs="Tajawal"/>
          <w:rtl/>
          <w:lang w:bidi="ar-EG"/>
        </w:rPr>
      </w:pPr>
      <w:r w:rsidRPr="00804281">
        <w:rPr>
          <w:rFonts w:ascii="Tajawal" w:eastAsia="Calibri" w:hAnsi="Tajawal" w:cs="Tajawal"/>
          <w:b/>
          <w:bCs/>
          <w:rtl/>
          <w:lang w:bidi="ar-EG"/>
        </w:rPr>
        <w:t>وثاني كنيسة أسسها حملت اسمه</w:t>
      </w:r>
      <w:r w:rsidRPr="00804281">
        <w:rPr>
          <w:rFonts w:ascii="Tajawal" w:eastAsia="Calibri" w:hAnsi="Tajawal" w:cs="Tajawal"/>
          <w:rtl/>
          <w:lang w:bidi="ar-EG"/>
        </w:rPr>
        <w:t xml:space="preserve"> وهي كنيسة دير أبا مقار الكبير. وكان القديس يصلي في إحدى الكنيستين، ويصلي في الأخرى القديس </w:t>
      </w:r>
      <w:r w:rsidR="009C0E8D" w:rsidRPr="009C0E8D">
        <w:rPr>
          <w:rFonts w:ascii="Tajawal" w:eastAsia="Calibri" w:hAnsi="Tajawal" w:cs="Tajawal"/>
          <w:rtl/>
          <w:lang w:bidi="ar-EG"/>
        </w:rPr>
        <w:t>أيسوذورس</w:t>
      </w:r>
      <w:r w:rsidRPr="00804281">
        <w:rPr>
          <w:rFonts w:ascii="Tajawal" w:eastAsia="Calibri" w:hAnsi="Tajawal" w:cs="Tajawal"/>
          <w:rtl/>
          <w:lang w:bidi="ar-EG"/>
        </w:rPr>
        <w:t xml:space="preserve"> القس. ثم بعد ذلك سيم القديس موسى الأسود قسًا بيد البابا </w:t>
      </w:r>
      <w:r w:rsidR="009C0E8D" w:rsidRPr="009C0E8D">
        <w:rPr>
          <w:rFonts w:ascii="Tajawal" w:eastAsia="Calibri" w:hAnsi="Tajawal" w:cs="Tajawal"/>
          <w:rtl/>
          <w:lang w:bidi="ar-EG"/>
        </w:rPr>
        <w:t>ثاؤفيلس</w:t>
      </w:r>
      <w:r w:rsidRPr="00804281">
        <w:rPr>
          <w:rFonts w:ascii="Tajawal" w:eastAsia="Calibri" w:hAnsi="Tajawal" w:cs="Tajawal"/>
          <w:rtl/>
          <w:lang w:bidi="ar-EG"/>
        </w:rPr>
        <w:t xml:space="preserve"> (البطريرك 23).</w:t>
      </w:r>
    </w:p>
    <w:p w14:paraId="377ABA40" w14:textId="4E1CB05A" w:rsidR="00804281" w:rsidRPr="00804281" w:rsidRDefault="00804281" w:rsidP="00804281">
      <w:pPr>
        <w:spacing w:after="200" w:line="276" w:lineRule="auto"/>
        <w:rPr>
          <w:rFonts w:ascii="Tajawal" w:eastAsia="Calibri" w:hAnsi="Tajawal" w:cs="Tajawal"/>
          <w:rtl/>
          <w:lang w:bidi="ar-EG"/>
        </w:rPr>
      </w:pPr>
      <w:r w:rsidRPr="00804281">
        <w:rPr>
          <w:rFonts w:ascii="Tajawal" w:eastAsia="Calibri" w:hAnsi="Tajawal" w:cs="Tajawal"/>
          <w:b/>
          <w:bCs/>
          <w:rtl/>
          <w:lang w:bidi="ar-EG"/>
        </w:rPr>
        <w:lastRenderedPageBreak/>
        <w:t>أبا مقار هو أول الثلاثة مقارات</w:t>
      </w:r>
      <w:r w:rsidRPr="00804281">
        <w:rPr>
          <w:rFonts w:ascii="Tajawal" w:eastAsia="Calibri" w:hAnsi="Tajawal" w:cs="Tajawal"/>
          <w:rtl/>
          <w:lang w:bidi="ar-EG"/>
        </w:rPr>
        <w:t xml:space="preserve"> القديسين المذكورين في المجمع، والمحفوظة عظامهم في دير أبا </w:t>
      </w:r>
      <w:r w:rsidR="009C0E8D" w:rsidRPr="009C0E8D">
        <w:rPr>
          <w:rFonts w:ascii="Tajawal" w:eastAsia="Calibri" w:hAnsi="Tajawal" w:cs="Tajawal"/>
          <w:rtl/>
          <w:lang w:bidi="ar-EG"/>
        </w:rPr>
        <w:t>مقار. أما</w:t>
      </w:r>
      <w:r w:rsidRPr="00804281">
        <w:rPr>
          <w:rFonts w:ascii="Tajawal" w:eastAsia="Calibri" w:hAnsi="Tajawal" w:cs="Tajawal"/>
          <w:rtl/>
          <w:lang w:bidi="ar-EG"/>
        </w:rPr>
        <w:t xml:space="preserve"> زميلاه فهما:</w:t>
      </w:r>
    </w:p>
    <w:p w14:paraId="7A480C9A" w14:textId="0838CA84" w:rsidR="00804281" w:rsidRPr="00804281" w:rsidRDefault="009C0E8D" w:rsidP="009C0E8D">
      <w:pPr>
        <w:spacing w:after="200" w:line="276" w:lineRule="auto"/>
        <w:jc w:val="left"/>
        <w:rPr>
          <w:rFonts w:ascii="Tajawal" w:eastAsia="Calibri" w:hAnsi="Tajawal" w:cs="Tajawal"/>
          <w:lang w:bidi="ar-EG"/>
        </w:rPr>
      </w:pPr>
      <w:r w:rsidRPr="009C0E8D">
        <w:rPr>
          <w:rFonts w:ascii="Tajawal" w:eastAsia="Calibri" w:hAnsi="Tajawal" w:cs="Tajawal"/>
          <w:rtl/>
          <w:lang w:bidi="ar-EG"/>
        </w:rPr>
        <w:t xml:space="preserve">- </w:t>
      </w:r>
      <w:r w:rsidR="00804281" w:rsidRPr="00804281">
        <w:rPr>
          <w:rFonts w:ascii="Tajawal" w:eastAsia="Calibri" w:hAnsi="Tajawal" w:cs="Tajawal"/>
          <w:rtl/>
          <w:lang w:bidi="ar-EG"/>
        </w:rPr>
        <w:t>القديس مقاريوس الإسكندراني.</w:t>
      </w:r>
    </w:p>
    <w:p w14:paraId="39186A9B" w14:textId="4492092E" w:rsidR="00804281" w:rsidRPr="00804281" w:rsidRDefault="009C0E8D" w:rsidP="009C0E8D">
      <w:pPr>
        <w:spacing w:after="200" w:line="276" w:lineRule="auto"/>
        <w:jc w:val="left"/>
        <w:rPr>
          <w:rFonts w:ascii="Tajawal" w:eastAsia="Calibri" w:hAnsi="Tajawal" w:cs="Tajawal"/>
          <w:lang w:bidi="ar-EG"/>
        </w:rPr>
      </w:pPr>
      <w:r w:rsidRPr="009C0E8D">
        <w:rPr>
          <w:rFonts w:ascii="Tajawal" w:eastAsia="Calibri" w:hAnsi="Tajawal" w:cs="Tajawal"/>
          <w:rtl/>
          <w:lang w:bidi="ar-EG"/>
        </w:rPr>
        <w:t xml:space="preserve">- </w:t>
      </w:r>
      <w:r w:rsidR="00804281" w:rsidRPr="00804281">
        <w:rPr>
          <w:rFonts w:ascii="Tajawal" w:eastAsia="Calibri" w:hAnsi="Tajawal" w:cs="Tajawal"/>
          <w:rtl/>
          <w:lang w:bidi="ar-EG"/>
        </w:rPr>
        <w:t xml:space="preserve">والقديس مقاريوس أسقف إدكو. </w:t>
      </w:r>
    </w:p>
    <w:p w14:paraId="78BE7D1E" w14:textId="71B969BC" w:rsidR="00804281" w:rsidRPr="00804281" w:rsidRDefault="00804281" w:rsidP="00804281">
      <w:pPr>
        <w:spacing w:after="200" w:line="276" w:lineRule="auto"/>
        <w:rPr>
          <w:rFonts w:ascii="Tajawal" w:eastAsia="Calibri" w:hAnsi="Tajawal" w:cs="Tajawal"/>
          <w:rtl/>
          <w:lang w:bidi="ar-EG"/>
        </w:rPr>
      </w:pPr>
      <w:r w:rsidRPr="00804281">
        <w:rPr>
          <w:rFonts w:ascii="Tajawal" w:eastAsia="Calibri" w:hAnsi="Tajawal" w:cs="Tajawal"/>
          <w:b/>
          <w:bCs/>
          <w:rtl/>
          <w:lang w:bidi="ar-EG"/>
        </w:rPr>
        <w:t xml:space="preserve">وكان </w:t>
      </w:r>
      <w:r w:rsidR="009C0E8D" w:rsidRPr="009C0E8D">
        <w:rPr>
          <w:rFonts w:ascii="Tajawal" w:eastAsia="Calibri" w:hAnsi="Tajawal" w:cs="Tajawal"/>
          <w:b/>
          <w:bCs/>
          <w:rtl/>
          <w:lang w:bidi="ar-EG"/>
        </w:rPr>
        <w:t>الإسقيط</w:t>
      </w:r>
      <w:r w:rsidRPr="00804281">
        <w:rPr>
          <w:rFonts w:ascii="Tajawal" w:eastAsia="Calibri" w:hAnsi="Tajawal" w:cs="Tajawal"/>
          <w:b/>
          <w:bCs/>
          <w:rtl/>
          <w:lang w:bidi="ar-EG"/>
        </w:rPr>
        <w:t xml:space="preserve"> في عهد أبا مقار مملوءًا من قديسين كثيرين</w:t>
      </w:r>
      <w:r w:rsidRPr="00804281">
        <w:rPr>
          <w:rFonts w:ascii="Tajawal" w:eastAsia="Calibri" w:hAnsi="Tajawal" w:cs="Tajawal"/>
          <w:rtl/>
          <w:lang w:bidi="ar-EG"/>
        </w:rPr>
        <w:t xml:space="preserve">. غير من ذكرناهم، وكان هناك القديس أرسانيوس معلم أولاد الملوك، والقديس الأنبا بموا معلم القديس الأنبا بيشوي والقديس يحنس القصير... وكان هناك أيضًا الأنبا إشعياء المتوحد، والأنبا أغاثون، وغيرهم كثيرون. ومن تلاميذه القديس العظيم الأنبا ببنوده. وعاش في عهده عدد كبير من السواح في البراري، رأى اثنين منهم فقال لتلاميذه: </w:t>
      </w:r>
      <w:r w:rsidR="009C0E8D" w:rsidRPr="009C0E8D">
        <w:rPr>
          <w:rFonts w:ascii="Tajawal" w:eastAsia="Calibri" w:hAnsi="Tajawal" w:cs="Tajawal"/>
          <w:rtl/>
          <w:lang w:bidi="ar-EG"/>
        </w:rPr>
        <w:t>يا أولادي</w:t>
      </w:r>
      <w:r w:rsidRPr="00804281">
        <w:rPr>
          <w:rFonts w:ascii="Tajawal" w:eastAsia="Calibri" w:hAnsi="Tajawal" w:cs="Tajawal"/>
          <w:rtl/>
          <w:lang w:bidi="ar-EG"/>
        </w:rPr>
        <w:t xml:space="preserve"> أنا لست راهبًا، ولكنني رأيت رهبانًا.</w:t>
      </w:r>
    </w:p>
    <w:p w14:paraId="3ED2ECAC" w14:textId="77777777" w:rsidR="00804281" w:rsidRPr="00804281" w:rsidRDefault="00804281" w:rsidP="00804281">
      <w:pPr>
        <w:spacing w:after="200" w:line="276" w:lineRule="auto"/>
        <w:rPr>
          <w:rFonts w:ascii="Tajawal" w:eastAsia="Calibri" w:hAnsi="Tajawal" w:cs="Tajawal"/>
          <w:rtl/>
          <w:lang w:bidi="ar-EG"/>
        </w:rPr>
      </w:pPr>
      <w:r w:rsidRPr="00804281">
        <w:rPr>
          <w:rFonts w:ascii="Tajawal" w:eastAsia="Calibri" w:hAnsi="Tajawal" w:cs="Tajawal"/>
          <w:b/>
          <w:bCs/>
          <w:rtl/>
          <w:lang w:bidi="ar-EG"/>
        </w:rPr>
        <w:t>كان أبا مقار مشهودًا بتواضعه.</w:t>
      </w:r>
    </w:p>
    <w:p w14:paraId="3CCE573B" w14:textId="77777777" w:rsidR="00804281" w:rsidRPr="00804281" w:rsidRDefault="00804281" w:rsidP="00804281">
      <w:pPr>
        <w:spacing w:after="200" w:line="276" w:lineRule="auto"/>
        <w:rPr>
          <w:rFonts w:ascii="Tajawal" w:eastAsia="Calibri" w:hAnsi="Tajawal" w:cs="Tajawal"/>
          <w:rtl/>
          <w:lang w:bidi="ar-EG"/>
        </w:rPr>
      </w:pPr>
      <w:r w:rsidRPr="00804281">
        <w:rPr>
          <w:rFonts w:ascii="Tajawal" w:eastAsia="Calibri" w:hAnsi="Tajawal" w:cs="Tajawal"/>
          <w:rtl/>
          <w:lang w:bidi="ar-EG"/>
        </w:rPr>
        <w:t>وبهذا التواضع كان يخرج الشياطين، الذين اعترفوا له قائلين" بشيء واحد تغلبنا" فلما سألهم قالوا: "بتواضعك". لم تستطع فضائله العديدة أن ترفع قلبه، ولا حتى معجزاته، إذ أنه إحدى المرات أقام ميتًا... وقيل في سيرته، في مبدأ رهبنته، أن كاروبًا (واحدًا من طغمة الكاروبيم)، كان يرشده في حياته.</w:t>
      </w:r>
    </w:p>
    <w:p w14:paraId="52F5369E" w14:textId="1578C9C2" w:rsidR="00804281" w:rsidRPr="00804281" w:rsidRDefault="00804281" w:rsidP="00804281">
      <w:pPr>
        <w:spacing w:after="200" w:line="276" w:lineRule="auto"/>
        <w:rPr>
          <w:rFonts w:ascii="Tajawal" w:eastAsia="Calibri" w:hAnsi="Tajawal" w:cs="Tajawal"/>
          <w:b/>
          <w:bCs/>
          <w:rtl/>
          <w:lang w:bidi="ar-EG"/>
        </w:rPr>
      </w:pPr>
      <w:r w:rsidRPr="00804281">
        <w:rPr>
          <w:rFonts w:ascii="Tajawal" w:eastAsia="Calibri" w:hAnsi="Tajawal" w:cs="Tajawal"/>
          <w:b/>
          <w:bCs/>
          <w:rtl/>
          <w:lang w:bidi="ar-EG"/>
        </w:rPr>
        <w:t xml:space="preserve">وكان أبا مقار معلما كبيرًا للنسك </w:t>
      </w:r>
      <w:r w:rsidRPr="00804281">
        <w:rPr>
          <w:rFonts w:ascii="Tajawal" w:eastAsia="Calibri" w:hAnsi="Tajawal" w:cs="Tajawal"/>
          <w:rtl/>
          <w:lang w:bidi="ar-EG"/>
        </w:rPr>
        <w:t xml:space="preserve">وأيضًا لحياة الفضيلة عامة... كما أنه تنسب إليه خمسون عظة عميقة في معانيها، لدرجة أن البعض شكوا في نسبتها إلى راهب </w:t>
      </w:r>
      <w:r w:rsidR="009C0E8D" w:rsidRPr="009C0E8D">
        <w:rPr>
          <w:rFonts w:ascii="Tajawal" w:eastAsia="Calibri" w:hAnsi="Tajawal" w:cs="Tajawal"/>
          <w:rtl/>
          <w:lang w:bidi="ar-EG"/>
        </w:rPr>
        <w:t>ناسك...!</w:t>
      </w:r>
    </w:p>
    <w:p w14:paraId="243D307B" w14:textId="0EA10D85" w:rsidR="00804281" w:rsidRPr="00804281" w:rsidRDefault="00804281" w:rsidP="00804281">
      <w:pPr>
        <w:spacing w:after="200" w:line="276" w:lineRule="auto"/>
        <w:rPr>
          <w:rFonts w:ascii="Tajawal" w:eastAsia="Calibri" w:hAnsi="Tajawal" w:cs="Tajawal"/>
          <w:b/>
          <w:bCs/>
          <w:rtl/>
          <w:lang w:bidi="ar-EG"/>
        </w:rPr>
      </w:pPr>
      <w:r w:rsidRPr="00804281">
        <w:rPr>
          <w:rFonts w:ascii="Tajawal" w:eastAsia="Calibri" w:hAnsi="Tajawal" w:cs="Tajawal"/>
          <w:b/>
          <w:bCs/>
          <w:rtl/>
          <w:lang w:bidi="ar-EG"/>
        </w:rPr>
        <w:t xml:space="preserve">وقد وردت أخبار عن هذا </w:t>
      </w:r>
      <w:r w:rsidR="009C0E8D" w:rsidRPr="009C0E8D">
        <w:rPr>
          <w:rFonts w:ascii="Tajawal" w:eastAsia="Calibri" w:hAnsi="Tajawal" w:cs="Tajawal"/>
          <w:b/>
          <w:bCs/>
          <w:rtl/>
          <w:lang w:bidi="ar-EG"/>
        </w:rPr>
        <w:t>القديس في</w:t>
      </w:r>
      <w:r w:rsidRPr="00804281">
        <w:rPr>
          <w:rFonts w:ascii="Tajawal" w:eastAsia="Calibri" w:hAnsi="Tajawal" w:cs="Tajawal"/>
          <w:rtl/>
          <w:lang w:bidi="ar-EG"/>
        </w:rPr>
        <w:t xml:space="preserve"> كتاب بلاديوس، وفي بستان الرهبان، وكتب سيرته القديس سرابيون، وسجلت في المخطوطات، ونشرها دير السريان.  ونود أن نعيد نشرها قربيًا...</w:t>
      </w:r>
    </w:p>
    <w:p w14:paraId="60997522" w14:textId="77777777" w:rsidR="006234B6" w:rsidRPr="009C0E8D" w:rsidRDefault="006234B6" w:rsidP="003F09E7">
      <w:pPr>
        <w:spacing w:after="0"/>
        <w:rPr>
          <w:rFonts w:ascii="Tajawal" w:hAnsi="Tajawal" w:cs="Tajawal"/>
        </w:rPr>
      </w:pPr>
    </w:p>
    <w:sectPr w:rsidR="006234B6" w:rsidRPr="009C0E8D" w:rsidSect="002F474E">
      <w:headerReference w:type="default" r:id="rId8"/>
      <w:footerReference w:type="default" r:id="rId9"/>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440A9E74" w14:textId="46AB34FF" w:rsidR="009C0E8D" w:rsidRDefault="009C0E8D" w:rsidP="009C0E8D">
      <w:pPr>
        <w:pStyle w:val="FootnoteText"/>
        <w:rPr>
          <w:rFonts w:hint="cs"/>
          <w:lang w:bidi="ar-EG"/>
        </w:rPr>
      </w:pPr>
      <w:r>
        <w:rPr>
          <w:rStyle w:val="FootnoteReference"/>
        </w:rPr>
        <w:footnoteRef/>
      </w:r>
      <w:r>
        <w:rPr>
          <w:rtl/>
        </w:rPr>
        <w:t xml:space="preserve"> </w:t>
      </w:r>
      <w:r w:rsidRPr="009C0E8D">
        <w:rPr>
          <w:rFonts w:hint="cs"/>
          <w:rtl/>
        </w:rPr>
        <w:t xml:space="preserve">مقال لقداسة البابا شنوده الثالث - بمجلة الكرازة - السنة الثانية عشرة </w:t>
      </w:r>
      <w:r w:rsidRPr="009C0E8D">
        <w:rPr>
          <w:rtl/>
        </w:rPr>
        <w:t>–</w:t>
      </w:r>
      <w:r w:rsidRPr="009C0E8D">
        <w:rPr>
          <w:rFonts w:hint="cs"/>
          <w:rtl/>
        </w:rPr>
        <w:t xml:space="preserve"> العدد</w:t>
      </w:r>
      <w:r>
        <w:rPr>
          <w:rFonts w:hint="cs"/>
          <w:rtl/>
        </w:rPr>
        <w:t xml:space="preserve"> الرابع عشر 3-4-1981م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90576"/>
    <w:multiLevelType w:val="hybridMultilevel"/>
    <w:tmpl w:val="6A64DA04"/>
    <w:lvl w:ilvl="0" w:tplc="03B0ED18">
      <w:numFmt w:val="bullet"/>
      <w:suff w:val="space"/>
      <w:lvlText w:val="-"/>
      <w:lvlJc w:val="left"/>
      <w:pPr>
        <w:ind w:left="360" w:hanging="360"/>
      </w:pPr>
      <w:rPr>
        <w:rFonts w:ascii="Simplified Arabic" w:eastAsiaTheme="minorHAnsi" w:hAnsi="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E2AAE"/>
    <w:rsid w:val="00145803"/>
    <w:rsid w:val="00165C47"/>
    <w:rsid w:val="002175C6"/>
    <w:rsid w:val="002F474E"/>
    <w:rsid w:val="003779A8"/>
    <w:rsid w:val="003F09E7"/>
    <w:rsid w:val="005942B8"/>
    <w:rsid w:val="006234B6"/>
    <w:rsid w:val="006252F8"/>
    <w:rsid w:val="006D2588"/>
    <w:rsid w:val="00746A50"/>
    <w:rsid w:val="00804281"/>
    <w:rsid w:val="00987980"/>
    <w:rsid w:val="009A1D90"/>
    <w:rsid w:val="009C0E8D"/>
    <w:rsid w:val="00AD2D0A"/>
    <w:rsid w:val="00B22F9E"/>
    <w:rsid w:val="00C1564B"/>
    <w:rsid w:val="00F00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character" w:styleId="FootnoteReference">
    <w:name w:val="footnote reference"/>
    <w:uiPriority w:val="99"/>
    <w:unhideWhenUsed/>
    <w:rsid w:val="00804281"/>
    <w:rPr>
      <w:vertAlign w:val="superscript"/>
    </w:rPr>
  </w:style>
  <w:style w:type="paragraph" w:styleId="FootnoteText">
    <w:name w:val="footnote text"/>
    <w:basedOn w:val="Normal"/>
    <w:link w:val="FootnoteTextChar1"/>
    <w:uiPriority w:val="99"/>
    <w:rsid w:val="00804281"/>
    <w:pPr>
      <w:spacing w:after="0" w:line="240" w:lineRule="auto"/>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804281"/>
    <w:rPr>
      <w:rFonts w:ascii="Simplified Arabic" w:hAnsi="Simplified Arabic" w:cs="Simplified Arabic"/>
      <w:sz w:val="20"/>
      <w:szCs w:val="20"/>
    </w:rPr>
  </w:style>
  <w:style w:type="character" w:customStyle="1" w:styleId="FootnoteTextChar1">
    <w:name w:val="Footnote Text Char1"/>
    <w:basedOn w:val="DefaultParagraphFont"/>
    <w:link w:val="FootnoteText"/>
    <w:uiPriority w:val="99"/>
    <w:rsid w:val="00804281"/>
    <w:rPr>
      <w:rFonts w:ascii="Times New Roman" w:eastAsia="Times New Roman" w:hAnsi="Times New Roman" w:cs="Times New Roman"/>
      <w:sz w:val="20"/>
      <w:szCs w:val="20"/>
    </w:rPr>
  </w:style>
  <w:style w:type="paragraph" w:styleId="ListParagraph">
    <w:name w:val="List Paragraph"/>
    <w:basedOn w:val="Normal"/>
    <w:uiPriority w:val="34"/>
    <w:qFormat/>
    <w:rsid w:val="009C0E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6C2AC-51CF-4540-8CF6-4C0E71A23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12</cp:revision>
  <dcterms:created xsi:type="dcterms:W3CDTF">2024-09-26T11:03:00Z</dcterms:created>
  <dcterms:modified xsi:type="dcterms:W3CDTF">2024-11-17T08:08:00Z</dcterms:modified>
</cp:coreProperties>
</file>