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7C21D" w14:textId="22730733" w:rsidR="00CD7FBE" w:rsidRPr="0097172F" w:rsidRDefault="00CD7FBE" w:rsidP="00CD7FBE">
      <w:pPr>
        <w:jc w:val="center"/>
        <w:rPr>
          <w:rFonts w:ascii="Tajawal" w:hAnsi="Tajawal" w:cs="Tajawal"/>
          <w:b/>
          <w:bCs/>
          <w:sz w:val="48"/>
          <w:szCs w:val="48"/>
          <w:rtl/>
          <w:lang w:bidi="ar-EG"/>
        </w:rPr>
      </w:pPr>
      <w:bookmarkStart w:id="0" w:name="_Toc94119882"/>
      <w:bookmarkStart w:id="1" w:name="_Toc116559556"/>
      <w:bookmarkStart w:id="2" w:name="_Toc116561998"/>
      <w:bookmarkStart w:id="3" w:name="_Toc149840363"/>
      <w:r w:rsidRPr="0097172F">
        <w:rPr>
          <w:rFonts w:ascii="Tajawal" w:hAnsi="Tajawal" w:cs="Tajawal"/>
          <w:b/>
          <w:bCs/>
          <w:sz w:val="48"/>
          <w:szCs w:val="48"/>
          <w:rtl/>
          <w:lang w:bidi="ar-EG"/>
        </w:rPr>
        <w:t>شهود الرب</w:t>
      </w:r>
      <w:bookmarkEnd w:id="0"/>
      <w:bookmarkEnd w:id="1"/>
      <w:bookmarkEnd w:id="2"/>
      <w:bookmarkEnd w:id="3"/>
      <w:r w:rsidR="0097172F" w:rsidRPr="0097172F">
        <w:rPr>
          <w:rStyle w:val="FootnoteReference"/>
          <w:rFonts w:ascii="Tajawal" w:hAnsi="Tajawal" w:cs="Tajawal"/>
          <w:b/>
          <w:bCs/>
          <w:sz w:val="40"/>
          <w:szCs w:val="40"/>
          <w:rtl/>
          <w:lang w:bidi="ar-EG"/>
        </w:rPr>
        <w:footnoteReference w:id="1"/>
      </w:r>
    </w:p>
    <w:p w14:paraId="171E1FE3" w14:textId="77777777" w:rsidR="00A02038" w:rsidRPr="0097172F" w:rsidRDefault="00A02038" w:rsidP="00CD7FBE">
      <w:pPr>
        <w:jc w:val="center"/>
        <w:rPr>
          <w:rFonts w:ascii="Tajawal" w:hAnsi="Tajawal" w:cs="Tajawal"/>
          <w:b/>
          <w:bCs/>
          <w:rtl/>
          <w:lang w:bidi="ar-EG"/>
        </w:rPr>
      </w:pPr>
    </w:p>
    <w:p w14:paraId="0EAEBCF0" w14:textId="77777777" w:rsidR="00CD7FBE" w:rsidRPr="00CD7FBE" w:rsidRDefault="00CD7FBE" w:rsidP="00CD7FBE">
      <w:pPr>
        <w:widowControl w:val="0"/>
        <w:spacing w:before="40" w:after="40" w:line="257" w:lineRule="auto"/>
        <w:rPr>
          <w:rFonts w:ascii="Tajawal" w:eastAsia="Calibri" w:hAnsi="Tajawal" w:cs="Tajawal"/>
          <w:rtl/>
          <w:lang w:bidi="ar-EG"/>
        </w:rPr>
      </w:pPr>
      <w:r w:rsidRPr="00CD7FBE">
        <w:rPr>
          <w:rFonts w:ascii="Tajawal" w:eastAsia="Calibri" w:hAnsi="Tajawal" w:cs="Tajawal"/>
          <w:rtl/>
          <w:lang w:bidi="ar-EG"/>
        </w:rPr>
        <w:t>لا يوجد عصر عقيم..</w:t>
      </w:r>
      <w:r w:rsidRPr="00CD7FBE">
        <w:rPr>
          <w:rFonts w:ascii="Tajawal" w:eastAsia="Calibri" w:hAnsi="Tajawal" w:cs="Tajawal"/>
          <w:lang w:bidi="ar-EG"/>
        </w:rPr>
        <w:t xml:space="preserve"> </w:t>
      </w:r>
      <w:r w:rsidRPr="00CD7FBE">
        <w:rPr>
          <w:rFonts w:ascii="Tajawal" w:eastAsia="Calibri" w:hAnsi="Tajawal" w:cs="Tajawal"/>
          <w:b/>
          <w:bCs/>
          <w:rtl/>
          <w:lang w:bidi="ar-EG"/>
        </w:rPr>
        <w:t>فالله لا يترك نفسه بلا شاهد.</w:t>
      </w:r>
    </w:p>
    <w:p w14:paraId="6092F3F7" w14:textId="77777777" w:rsidR="00CD7FBE" w:rsidRPr="00CD7FBE" w:rsidRDefault="00CD7FBE" w:rsidP="00CD7FBE">
      <w:pPr>
        <w:widowControl w:val="0"/>
        <w:spacing w:before="40" w:after="40" w:line="257" w:lineRule="auto"/>
        <w:rPr>
          <w:rFonts w:ascii="Tajawal" w:eastAsia="Calibri" w:hAnsi="Tajawal" w:cs="Tajawal"/>
          <w:rtl/>
          <w:lang w:bidi="ar-EG"/>
        </w:rPr>
      </w:pPr>
      <w:r w:rsidRPr="00CD7FBE">
        <w:rPr>
          <w:rFonts w:ascii="Tajawal" w:eastAsia="Calibri" w:hAnsi="Tajawal" w:cs="Tajawal"/>
          <w:rtl/>
          <w:lang w:bidi="ar-EG"/>
        </w:rPr>
        <w:t xml:space="preserve">وقد أقام الرب لنفسه "سحابة من الشهود" (عب12)، كانوا يشهدون لوصاياه، وللحياة المقدسة، مهما كانت الظروف والمُلابسات. </w:t>
      </w:r>
    </w:p>
    <w:p w14:paraId="00A62E17" w14:textId="77777777" w:rsidR="00CD7FBE" w:rsidRPr="00CD7FBE" w:rsidRDefault="00CD7FBE" w:rsidP="00CD7FBE">
      <w:pPr>
        <w:widowControl w:val="0"/>
        <w:spacing w:before="40" w:after="40" w:line="257" w:lineRule="auto"/>
        <w:rPr>
          <w:rFonts w:ascii="Tajawal" w:eastAsia="Calibri" w:hAnsi="Tajawal" w:cs="Tajawal"/>
          <w:rtl/>
          <w:lang w:bidi="ar-EG"/>
        </w:rPr>
      </w:pPr>
      <w:r w:rsidRPr="00CD7FBE">
        <w:rPr>
          <w:rFonts w:ascii="Tajawal" w:eastAsia="Calibri" w:hAnsi="Tajawal" w:cs="Tajawal"/>
          <w:rtl/>
          <w:lang w:bidi="ar-EG"/>
        </w:rPr>
        <w:t xml:space="preserve">ومن هؤلاء أنبياء العهد القديم. وآخر هؤلاء يوحنا المعمدان، الذي شهد لوصية الرب شهادة، من أجلها أُخذت رأسه على طبق. ولكن عاشت شهادته. </w:t>
      </w:r>
    </w:p>
    <w:p w14:paraId="0242D64A" w14:textId="77777777" w:rsidR="00CD7FBE" w:rsidRPr="00CD7FBE" w:rsidRDefault="00CD7FBE" w:rsidP="00CD7FBE">
      <w:pPr>
        <w:widowControl w:val="0"/>
        <w:spacing w:before="40" w:after="40" w:line="257" w:lineRule="auto"/>
        <w:rPr>
          <w:rFonts w:ascii="Tajawal" w:eastAsia="Calibri" w:hAnsi="Tajawal" w:cs="Tajawal"/>
          <w:rtl/>
          <w:lang w:bidi="ar-EG"/>
        </w:rPr>
      </w:pPr>
      <w:r w:rsidRPr="00CD7FBE">
        <w:rPr>
          <w:rFonts w:ascii="Tajawal" w:eastAsia="Calibri" w:hAnsi="Tajawal" w:cs="Tajawal"/>
          <w:rtl/>
          <w:lang w:bidi="ar-EG"/>
        </w:rPr>
        <w:t xml:space="preserve">ورسل المسيح الاثنا عشر، قال لهم: "وَتَكُونُونَ لِي شُهُودًا فِي أُورُشَلِيمَ وَفِي كُلِّ الْيَهُودِيَّةِ وَالسَّامِرَةِ وَإِلَى أَقْصَى الأَرْضِ" (أع1: 8). </w:t>
      </w:r>
    </w:p>
    <w:p w14:paraId="5923959F" w14:textId="77777777" w:rsidR="00CD7FBE" w:rsidRPr="00CD7FBE" w:rsidRDefault="00CD7FBE" w:rsidP="00CD7FBE">
      <w:pPr>
        <w:widowControl w:val="0"/>
        <w:spacing w:before="40" w:after="40" w:line="257" w:lineRule="auto"/>
        <w:rPr>
          <w:rFonts w:ascii="Tajawal" w:eastAsia="Calibri" w:hAnsi="Tajawal" w:cs="Tajawal"/>
          <w:b/>
          <w:bCs/>
          <w:rtl/>
          <w:lang w:bidi="ar-EG"/>
        </w:rPr>
      </w:pPr>
      <w:r w:rsidRPr="00CD7FBE">
        <w:rPr>
          <w:rFonts w:ascii="Tajawal" w:eastAsia="Calibri" w:hAnsi="Tajawal" w:cs="Tajawal"/>
          <w:b/>
          <w:bCs/>
          <w:rtl/>
          <w:lang w:bidi="ar-EG"/>
        </w:rPr>
        <w:t>والشهداء هم أيضًا شهود للرب...</w:t>
      </w:r>
    </w:p>
    <w:p w14:paraId="452FD7B4" w14:textId="77777777" w:rsidR="00CD7FBE" w:rsidRPr="00CD7FBE" w:rsidRDefault="00CD7FBE" w:rsidP="00CD7FBE">
      <w:pPr>
        <w:widowControl w:val="0"/>
        <w:spacing w:before="40" w:after="40" w:line="257" w:lineRule="auto"/>
        <w:rPr>
          <w:rFonts w:ascii="Tajawal" w:eastAsia="Calibri" w:hAnsi="Tajawal" w:cs="Tajawal"/>
          <w:rtl/>
          <w:lang w:bidi="ar-EG"/>
        </w:rPr>
      </w:pPr>
      <w:r w:rsidRPr="00CD7FBE">
        <w:rPr>
          <w:rFonts w:ascii="Tajawal" w:eastAsia="Calibri" w:hAnsi="Tajawal" w:cs="Tajawal"/>
          <w:rtl/>
          <w:lang w:bidi="ar-EG"/>
        </w:rPr>
        <w:t xml:space="preserve">شهدوا للإيمان، وبكّتوا الوثنية، وقدموا أرواحهم ثمنًا لشهادتهم، وانتقلوا من الأرض سعداء.. وفي كل جيل، يسجل التاريخ أسماء مَن كانوا شهودًا للرب، بحياتهم وكلامهم وأمثولتهم. </w:t>
      </w:r>
    </w:p>
    <w:p w14:paraId="5772E4F0" w14:textId="77777777" w:rsidR="00CD7FBE" w:rsidRPr="00CD7FBE" w:rsidRDefault="00CD7FBE" w:rsidP="00CD7FBE">
      <w:pPr>
        <w:widowControl w:val="0"/>
        <w:spacing w:before="40" w:after="40" w:line="257" w:lineRule="auto"/>
        <w:rPr>
          <w:rFonts w:ascii="Tajawal" w:eastAsia="Calibri" w:hAnsi="Tajawal" w:cs="Tajawal"/>
          <w:b/>
          <w:bCs/>
          <w:rtl/>
          <w:lang w:bidi="ar-EG"/>
        </w:rPr>
      </w:pPr>
      <w:r w:rsidRPr="00CD7FBE">
        <w:rPr>
          <w:rFonts w:ascii="Tajawal" w:eastAsia="Calibri" w:hAnsi="Tajawal" w:cs="Tajawal"/>
          <w:b/>
          <w:bCs/>
          <w:rtl/>
          <w:lang w:bidi="ar-EG"/>
        </w:rPr>
        <w:t>ومن هؤلاء أبطال الإيمان، الذين حاربوا الهرطقات والبدع وردوا عليها...</w:t>
      </w:r>
    </w:p>
    <w:p w14:paraId="53DCDDC1" w14:textId="79B9F7F1" w:rsidR="00CD7FBE" w:rsidRPr="00CD7FBE" w:rsidRDefault="00CD7FBE" w:rsidP="00A02038">
      <w:pPr>
        <w:widowControl w:val="0"/>
        <w:spacing w:before="40" w:after="40" w:line="257" w:lineRule="auto"/>
        <w:rPr>
          <w:rFonts w:ascii="Tajawal" w:eastAsia="Calibri" w:hAnsi="Tajawal" w:cs="Tajawal"/>
          <w:rtl/>
          <w:lang w:bidi="ar-EG"/>
        </w:rPr>
      </w:pPr>
      <w:r w:rsidRPr="00CD7FBE">
        <w:rPr>
          <w:rFonts w:ascii="Tajawal" w:eastAsia="Calibri" w:hAnsi="Tajawal" w:cs="Tajawal"/>
          <w:rtl/>
          <w:lang w:bidi="ar-EG"/>
        </w:rPr>
        <w:t xml:space="preserve">مثل القديسين الكبار، أثناسيوس، وباسيليوس، وكيرلس، وديسقورس، وساويرس وعدد ضخم ممن دافعوا عن الإيمان في الأجيال الأولى.. ومن أجل الإيمان، احتملوا النفي والسجن، واحتملوا العزل أيضًا. ولكن التاريخ سجل جهادهم كأبطال، قدموا كل جهدهم ووقتهم وفكرهم ومواهبهم دفاعًا عن العقيدة. </w:t>
      </w:r>
    </w:p>
    <w:p w14:paraId="5B3421AF" w14:textId="77777777" w:rsidR="00CD7FBE" w:rsidRPr="00CD7FBE" w:rsidRDefault="00CD7FBE" w:rsidP="00CD7FBE">
      <w:pPr>
        <w:widowControl w:val="0"/>
        <w:spacing w:before="40" w:after="40" w:line="257" w:lineRule="auto"/>
        <w:rPr>
          <w:rFonts w:ascii="Tajawal" w:eastAsia="Calibri" w:hAnsi="Tajawal" w:cs="Tajawal"/>
          <w:rtl/>
          <w:lang w:bidi="ar-EG"/>
        </w:rPr>
      </w:pPr>
      <w:r w:rsidRPr="00CD7FBE">
        <w:rPr>
          <w:rFonts w:ascii="Tajawal" w:eastAsia="Calibri" w:hAnsi="Tajawal" w:cs="Tajawal"/>
          <w:b/>
          <w:bCs/>
          <w:rtl/>
          <w:lang w:bidi="ar-EG"/>
        </w:rPr>
        <w:t>ومن الشهود البارزين، معلمو الكنيسة...</w:t>
      </w:r>
      <w:r w:rsidRPr="00CD7FBE">
        <w:rPr>
          <w:rFonts w:ascii="Tajawal" w:eastAsia="Calibri" w:hAnsi="Tajawal" w:cs="Tajawal"/>
          <w:rtl/>
          <w:lang w:bidi="ar-EG"/>
        </w:rPr>
        <w:t xml:space="preserve"> أساتذة المدرسة اللاهوتية، أمثال بنتينوس وإكليمنضس، وديديموس الضرير...</w:t>
      </w:r>
      <w:r w:rsidRPr="00CD7FBE">
        <w:rPr>
          <w:rFonts w:ascii="Tajawal" w:eastAsia="Calibri" w:hAnsi="Tajawal" w:cs="Tajawal"/>
          <w:lang w:bidi="ar-EG"/>
        </w:rPr>
        <w:t xml:space="preserve"> </w:t>
      </w:r>
      <w:r w:rsidRPr="00CD7FBE">
        <w:rPr>
          <w:rFonts w:ascii="Tajawal" w:eastAsia="Calibri" w:hAnsi="Tajawal" w:cs="Tajawal"/>
          <w:rtl/>
          <w:lang w:bidi="ar-EG"/>
        </w:rPr>
        <w:t xml:space="preserve">وأيضًا خدام المنبر </w:t>
      </w:r>
      <w:r w:rsidRPr="00CD7FBE">
        <w:rPr>
          <w:rFonts w:ascii="Tajawal" w:eastAsia="Calibri" w:hAnsi="Tajawal" w:cs="Tajawal"/>
          <w:rtl/>
          <w:lang w:bidi="ar-EG"/>
        </w:rPr>
        <w:lastRenderedPageBreak/>
        <w:t>أمثال القديس يوحنا ذهبي الفم، والقديس أغسطينوس، ومار أفرام، ويعقوب السروجي. وعدد لا يحصى في كل جيل، وفي كل كنيسة.</w:t>
      </w:r>
    </w:p>
    <w:p w14:paraId="79FD17FA" w14:textId="77777777" w:rsidR="00CD7FBE" w:rsidRPr="0097172F" w:rsidRDefault="00CD7FBE" w:rsidP="0097172F">
      <w:pPr>
        <w:rPr>
          <w:rFonts w:ascii="Tajawal" w:hAnsi="Tajawal" w:cs="Tajawal"/>
          <w:b/>
          <w:bCs/>
          <w:rtl/>
          <w:lang w:bidi="ar-EG"/>
        </w:rPr>
      </w:pPr>
      <w:r w:rsidRPr="0097172F">
        <w:rPr>
          <w:rFonts w:ascii="Tajawal" w:hAnsi="Tajawal" w:cs="Tajawal"/>
          <w:b/>
          <w:bCs/>
          <w:rtl/>
          <w:lang w:bidi="ar-EG"/>
        </w:rPr>
        <w:t xml:space="preserve">ومن الشهود الذين لم تكن الأرض مستحقة لهم، آباء البرية وحياة السكون. </w:t>
      </w:r>
    </w:p>
    <w:p w14:paraId="7D8DD71D" w14:textId="77777777" w:rsidR="00CD7FBE" w:rsidRPr="00CD7FBE" w:rsidRDefault="00CD7FBE" w:rsidP="00CD7FBE">
      <w:pPr>
        <w:widowControl w:val="0"/>
        <w:spacing w:before="40" w:after="40" w:line="257" w:lineRule="auto"/>
        <w:rPr>
          <w:rFonts w:ascii="Tajawal" w:eastAsia="Calibri" w:hAnsi="Tajawal" w:cs="Tajawal"/>
          <w:rtl/>
          <w:lang w:bidi="ar-EG"/>
        </w:rPr>
      </w:pPr>
      <w:r w:rsidRPr="00CD7FBE">
        <w:rPr>
          <w:rFonts w:ascii="Tajawal" w:eastAsia="Calibri" w:hAnsi="Tajawal" w:cs="Tajawal"/>
          <w:rtl/>
          <w:lang w:bidi="ar-EG"/>
        </w:rPr>
        <w:t>أولئك لم يشهدوا للحقائق اللاهوتية والإيمانية، بقدر ما شهدوا لحياة القداسة، وإمكانية السير في حياة الكمال المسيحي، كما شهدوا لإمكانية تنفيذ وصايا الرب عمليًا. من أمثلة هؤلاء القديس أنطونيوس، والقديس مكاريوس، وآباء شيهيت، وآباء جبل نتريا، وأمثالهم، وجميع الآباء السواح والمتوحدين...</w:t>
      </w:r>
    </w:p>
    <w:p w14:paraId="45827922" w14:textId="77777777" w:rsidR="00CD7FBE" w:rsidRPr="00CD7FBE" w:rsidRDefault="00CD7FBE" w:rsidP="00CD7FBE">
      <w:pPr>
        <w:widowControl w:val="0"/>
        <w:spacing w:before="40" w:after="40" w:line="257" w:lineRule="auto"/>
        <w:rPr>
          <w:rFonts w:ascii="Tajawal" w:eastAsia="Calibri" w:hAnsi="Tajawal" w:cs="Tajawal"/>
          <w:rtl/>
          <w:lang w:bidi="ar-EG"/>
        </w:rPr>
      </w:pPr>
      <w:r w:rsidRPr="00CD7FBE">
        <w:rPr>
          <w:rFonts w:ascii="Tajawal" w:eastAsia="Calibri" w:hAnsi="Tajawal" w:cs="Tajawal"/>
          <w:rtl/>
          <w:lang w:bidi="ar-EG"/>
        </w:rPr>
        <w:t>على أنه للأسف الشديد، فإن تسجيل تاريخ شهود الرب لم يستمر طويلاً.</w:t>
      </w:r>
    </w:p>
    <w:p w14:paraId="396DE219" w14:textId="77777777" w:rsidR="00CD7FBE" w:rsidRPr="0097172F" w:rsidRDefault="00CD7FBE" w:rsidP="0097172F">
      <w:pPr>
        <w:rPr>
          <w:rFonts w:ascii="Tajawal" w:hAnsi="Tajawal" w:cs="Tajawal"/>
          <w:b/>
          <w:bCs/>
          <w:rtl/>
          <w:lang w:bidi="ar-EG"/>
        </w:rPr>
      </w:pPr>
      <w:r w:rsidRPr="0097172F">
        <w:rPr>
          <w:rFonts w:ascii="Tajawal" w:hAnsi="Tajawal" w:cs="Tajawal"/>
          <w:b/>
          <w:bCs/>
          <w:rtl/>
          <w:lang w:bidi="ar-EG"/>
        </w:rPr>
        <w:t xml:space="preserve">لا يوجد اهتمام بمتابعة سير سحابة الشهود بعد القرن السادس تقريبًا. </w:t>
      </w:r>
    </w:p>
    <w:p w14:paraId="47879D44" w14:textId="77777777" w:rsidR="00CD7FBE" w:rsidRPr="00CD7FBE" w:rsidRDefault="00CD7FBE" w:rsidP="00CD7FBE">
      <w:pPr>
        <w:widowControl w:val="0"/>
        <w:spacing w:before="40" w:after="40" w:line="257" w:lineRule="auto"/>
        <w:rPr>
          <w:rFonts w:ascii="Tajawal" w:eastAsia="Calibri" w:hAnsi="Tajawal" w:cs="Tajawal"/>
          <w:rtl/>
          <w:lang w:bidi="ar-EG"/>
        </w:rPr>
      </w:pPr>
      <w:r w:rsidRPr="00CD7FBE">
        <w:rPr>
          <w:rFonts w:ascii="Tajawal" w:eastAsia="Calibri" w:hAnsi="Tajawal" w:cs="Tajawal"/>
          <w:rtl/>
          <w:lang w:bidi="ar-EG"/>
        </w:rPr>
        <w:t xml:space="preserve">ونكاد حينما نتحدث عن القديسين، إنما نعني القرون الخمسة الأولى للمسيحية! ويكاد السنكسار يتوقف بعد تلك العصور، إلا من أسماء قليلة، أدخلت عليه، خلال أربعة عشر قرنًا. </w:t>
      </w:r>
    </w:p>
    <w:p w14:paraId="38A91EC8" w14:textId="77777777" w:rsidR="00CD7FBE" w:rsidRPr="0097172F" w:rsidRDefault="00CD7FBE" w:rsidP="0097172F">
      <w:pPr>
        <w:rPr>
          <w:rFonts w:ascii="Tajawal" w:hAnsi="Tajawal" w:cs="Tajawal"/>
          <w:b/>
          <w:bCs/>
          <w:rtl/>
          <w:lang w:bidi="ar-EG"/>
        </w:rPr>
      </w:pPr>
      <w:r w:rsidRPr="0097172F">
        <w:rPr>
          <w:rFonts w:ascii="Tajawal" w:hAnsi="Tajawal" w:cs="Tajawal"/>
          <w:b/>
          <w:bCs/>
          <w:rtl/>
          <w:lang w:bidi="ar-EG"/>
        </w:rPr>
        <w:t>ونذكر من شهود الرب هؤلاء:</w:t>
      </w:r>
    </w:p>
    <w:p w14:paraId="4B0EB9C5" w14:textId="77777777" w:rsidR="00CD7FBE" w:rsidRPr="00CD7FBE" w:rsidRDefault="00CD7FBE" w:rsidP="00CD7FBE">
      <w:pPr>
        <w:widowControl w:val="0"/>
        <w:spacing w:before="40" w:after="40" w:line="257" w:lineRule="auto"/>
        <w:rPr>
          <w:rFonts w:ascii="Tajawal" w:eastAsia="Calibri" w:hAnsi="Tajawal" w:cs="Tajawal"/>
          <w:rtl/>
          <w:lang w:bidi="ar-EG"/>
        </w:rPr>
      </w:pPr>
      <w:r w:rsidRPr="00CD7FBE">
        <w:rPr>
          <w:rFonts w:ascii="Tajawal" w:eastAsia="Calibri" w:hAnsi="Tajawal" w:cs="Tajawal"/>
          <w:rtl/>
          <w:lang w:bidi="ar-EG"/>
        </w:rPr>
        <w:t>القديس الأنبا رويس، القديس مرقس المتوحد، القديس برسوم العريان، القديس مار جرجس المزاحم، والقديس بطرس السدمنتي.</w:t>
      </w:r>
    </w:p>
    <w:p w14:paraId="0EF98F9D" w14:textId="77777777" w:rsidR="00CD7FBE" w:rsidRPr="0097172F" w:rsidRDefault="00CD7FBE" w:rsidP="0097172F">
      <w:pPr>
        <w:rPr>
          <w:rFonts w:ascii="Tajawal" w:eastAsia="Times New Roman" w:hAnsi="Tajawal" w:cs="Tajawal"/>
          <w:b/>
          <w:bCs/>
          <w:rtl/>
          <w:lang w:bidi="ar-EG"/>
        </w:rPr>
      </w:pPr>
      <w:r w:rsidRPr="0097172F">
        <w:rPr>
          <w:rFonts w:ascii="Tajawal" w:hAnsi="Tajawal" w:cs="Tajawal"/>
          <w:b/>
          <w:bCs/>
          <w:rtl/>
          <w:lang w:bidi="ar-EG"/>
        </w:rPr>
        <w:t>ومن شهود الرب أيضًا في تلك العصور المتأخرة</w:t>
      </w:r>
      <w:r w:rsidRPr="0097172F">
        <w:rPr>
          <w:rFonts w:ascii="Tajawal" w:eastAsia="Times New Roman" w:hAnsi="Tajawal" w:cs="Tajawal"/>
          <w:b/>
          <w:bCs/>
          <w:rtl/>
          <w:lang w:bidi="ar-EG"/>
        </w:rPr>
        <w:t>.</w:t>
      </w:r>
    </w:p>
    <w:p w14:paraId="170733BC" w14:textId="77777777" w:rsidR="00CD7FBE" w:rsidRPr="00CD7FBE" w:rsidRDefault="00CD7FBE" w:rsidP="00CD7FBE">
      <w:pPr>
        <w:widowControl w:val="0"/>
        <w:spacing w:before="40" w:after="40" w:line="257" w:lineRule="auto"/>
        <w:rPr>
          <w:rFonts w:ascii="Tajawal" w:eastAsia="Calibri" w:hAnsi="Tajawal" w:cs="Tajawal"/>
          <w:rtl/>
          <w:lang w:bidi="ar-EG"/>
        </w:rPr>
      </w:pPr>
      <w:r w:rsidRPr="00CD7FBE">
        <w:rPr>
          <w:rFonts w:ascii="Tajawal" w:eastAsia="Calibri" w:hAnsi="Tajawal" w:cs="Tajawal"/>
          <w:rtl/>
          <w:lang w:bidi="ar-EG"/>
        </w:rPr>
        <w:t xml:space="preserve">القديس الأنبا أبرام أسقف الفيوم، القديس صرابامون أبو طرحة، والقديس سيدهم بشاي... وقد اخترنا هؤلاء من عصور متفاوتة. </w:t>
      </w:r>
    </w:p>
    <w:p w14:paraId="0A586188" w14:textId="77777777" w:rsidR="00CD7FBE" w:rsidRPr="0097172F" w:rsidRDefault="00CD7FBE" w:rsidP="0097172F">
      <w:pPr>
        <w:rPr>
          <w:rFonts w:ascii="Tajawal" w:hAnsi="Tajawal" w:cs="Tajawal"/>
          <w:b/>
          <w:bCs/>
          <w:rtl/>
          <w:lang w:bidi="ar-EG"/>
        </w:rPr>
      </w:pPr>
      <w:r w:rsidRPr="0097172F">
        <w:rPr>
          <w:rFonts w:ascii="Tajawal" w:hAnsi="Tajawal" w:cs="Tajawal"/>
          <w:b/>
          <w:bCs/>
          <w:rtl/>
          <w:lang w:bidi="ar-EG"/>
        </w:rPr>
        <w:t>حتى العصور التي يظن البعض أنها كانت عصورًا مظلمة لم تخل من شهود.</w:t>
      </w:r>
    </w:p>
    <w:p w14:paraId="7BA254A7" w14:textId="77777777" w:rsidR="00CD7FBE" w:rsidRPr="00CD7FBE" w:rsidRDefault="00CD7FBE" w:rsidP="00CD7FBE">
      <w:pPr>
        <w:widowControl w:val="0"/>
        <w:spacing w:before="40" w:after="40" w:line="257" w:lineRule="auto"/>
        <w:rPr>
          <w:rFonts w:ascii="Tajawal" w:eastAsia="Calibri" w:hAnsi="Tajawal" w:cs="Tajawal"/>
          <w:rtl/>
          <w:lang w:bidi="ar-EG"/>
        </w:rPr>
      </w:pPr>
      <w:r w:rsidRPr="00CD7FBE">
        <w:rPr>
          <w:rFonts w:ascii="Tajawal" w:eastAsia="Calibri" w:hAnsi="Tajawal" w:cs="Tajawal"/>
          <w:rtl/>
          <w:lang w:bidi="ar-EG"/>
        </w:rPr>
        <w:t xml:space="preserve">وليته يكون تدريبًا لنا، أن نتابع قديسي الرب في كل جيل على حدة، لنتأكد، ونؤكد لغيرنا، أن الله لم يترك نفسه حينًا بلا شاهد، وأنه لو سكت الناس، </w:t>
      </w:r>
      <w:r w:rsidRPr="00CD7FBE">
        <w:rPr>
          <w:rFonts w:ascii="Tajawal" w:eastAsia="Calibri" w:hAnsi="Tajawal" w:cs="Tajawal"/>
          <w:rtl/>
          <w:lang w:bidi="ar-EG"/>
        </w:rPr>
        <w:lastRenderedPageBreak/>
        <w:t>لكانت الحجارة تنطق!</w:t>
      </w:r>
    </w:p>
    <w:p w14:paraId="60997522" w14:textId="77777777" w:rsidR="006234B6" w:rsidRPr="0097172F" w:rsidRDefault="006234B6" w:rsidP="003F09E7">
      <w:pPr>
        <w:spacing w:after="0"/>
        <w:rPr>
          <w:rFonts w:ascii="Tajawal" w:hAnsi="Tajawal" w:cs="Tajawal"/>
          <w:lang w:bidi="ar-EG"/>
        </w:rPr>
      </w:pPr>
    </w:p>
    <w:sectPr w:rsidR="006234B6" w:rsidRPr="0097172F"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31E7ECD2" w14:textId="37B12347" w:rsidR="0097172F" w:rsidRDefault="0097172F" w:rsidP="0097172F">
      <w:pPr>
        <w:pStyle w:val="FootnoteText"/>
        <w:rPr>
          <w:rFonts w:hint="cs"/>
          <w:lang w:bidi="ar-EG"/>
        </w:rPr>
      </w:pPr>
      <w:r>
        <w:rPr>
          <w:rStyle w:val="FootnoteReference"/>
        </w:rPr>
        <w:footnoteRef/>
      </w:r>
      <w:r>
        <w:rPr>
          <w:rtl/>
        </w:rPr>
        <w:t xml:space="preserve"> </w:t>
      </w:r>
      <w:r w:rsidRPr="0097172F">
        <w:rPr>
          <w:rFonts w:hint="cs"/>
          <w:rtl/>
        </w:rPr>
        <w:t xml:space="preserve">مقال لقداسة البابا شنوده الثالث - بمجلة الكرازة - السنة </w:t>
      </w:r>
      <w:r>
        <w:rPr>
          <w:rFonts w:hint="cs"/>
          <w:rtl/>
        </w:rPr>
        <w:t>الثانية</w:t>
      </w:r>
      <w:r w:rsidRPr="0097172F">
        <w:rPr>
          <w:rFonts w:hint="cs"/>
          <w:rtl/>
        </w:rPr>
        <w:t xml:space="preserve"> عشرة </w:t>
      </w:r>
      <w:r w:rsidRPr="0097172F">
        <w:rPr>
          <w:rtl/>
        </w:rPr>
        <w:t>–</w:t>
      </w:r>
      <w:r w:rsidRPr="0097172F">
        <w:rPr>
          <w:rFonts w:hint="cs"/>
          <w:rtl/>
        </w:rPr>
        <w:t xml:space="preserve"> العدد</w:t>
      </w:r>
      <w:r>
        <w:rPr>
          <w:rFonts w:hint="cs"/>
          <w:rtl/>
        </w:rPr>
        <w:t xml:space="preserve"> التاسع 27-2-1981م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6234B6"/>
    <w:rsid w:val="006252F8"/>
    <w:rsid w:val="006D2588"/>
    <w:rsid w:val="00746A50"/>
    <w:rsid w:val="0097172F"/>
    <w:rsid w:val="00987980"/>
    <w:rsid w:val="009A1D90"/>
    <w:rsid w:val="00A02038"/>
    <w:rsid w:val="00AD2D0A"/>
    <w:rsid w:val="00B22F9E"/>
    <w:rsid w:val="00C1564B"/>
    <w:rsid w:val="00CD7FBE"/>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CD7F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FBE"/>
    <w:rPr>
      <w:rFonts w:ascii="Simplified Arabic" w:hAnsi="Simplified Arabic" w:cs="Simplified Arabic"/>
      <w:sz w:val="20"/>
      <w:szCs w:val="20"/>
    </w:rPr>
  </w:style>
  <w:style w:type="character" w:styleId="FootnoteReference">
    <w:name w:val="footnote reference"/>
    <w:uiPriority w:val="99"/>
    <w:unhideWhenUsed/>
    <w:rsid w:val="00CD7FBE"/>
    <w:rPr>
      <w:vertAlign w:val="superscript"/>
    </w:rPr>
  </w:style>
  <w:style w:type="paragraph" w:styleId="NoSpacing">
    <w:name w:val="No Spacing"/>
    <w:uiPriority w:val="1"/>
    <w:qFormat/>
    <w:rsid w:val="0097172F"/>
    <w:pPr>
      <w:bidi/>
      <w:spacing w:after="0" w:line="240" w:lineRule="auto"/>
      <w:jc w:val="lowKashida"/>
    </w:pPr>
    <w:rPr>
      <w:rFonts w:ascii="Simplified Arabic" w:hAnsi="Simplified Arabic" w:cs="Simplified Arabic"/>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28542-20F1-4374-8A6E-DFCD490C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2024-11-11T10:08:00Z</dcterms:modified>
</cp:coreProperties>
</file>