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A3BD7" w14:textId="7AE01191" w:rsidR="00075AFE" w:rsidRPr="00823B72" w:rsidRDefault="00075AFE" w:rsidP="00823B72">
      <w:pPr>
        <w:jc w:val="center"/>
        <w:rPr>
          <w:rFonts w:ascii="Tahoma" w:hAnsi="Tahoma" w:cs="Tahoma"/>
          <w:b/>
          <w:bCs/>
          <w:rtl/>
          <w:lang w:bidi="ar-EG"/>
        </w:rPr>
      </w:pPr>
      <w:r w:rsidRPr="00823B72">
        <w:rPr>
          <w:rFonts w:ascii="Tahoma" w:hAnsi="Tahoma" w:cs="Tahoma"/>
          <w:b/>
          <w:bCs/>
          <w:rtl/>
          <w:lang w:bidi="ar-EG"/>
        </w:rPr>
        <w:t>الصوم وروحانيته</w:t>
      </w:r>
      <w:r w:rsidR="00823B72" w:rsidRPr="00823B72">
        <w:rPr>
          <w:rStyle w:val="FootnoteReference"/>
          <w:rFonts w:ascii="Tahoma" w:hAnsi="Tahoma" w:cs="Tahoma"/>
          <w:b/>
          <w:bCs/>
          <w:rtl/>
          <w:lang w:bidi="ar-EG"/>
        </w:rPr>
        <w:footnoteReference w:id="1"/>
      </w:r>
    </w:p>
    <w:p w14:paraId="40F4A26D" w14:textId="77777777" w:rsidR="00823B72" w:rsidRPr="00823B72" w:rsidRDefault="00823B72" w:rsidP="00075AFE">
      <w:pPr>
        <w:rPr>
          <w:rFonts w:ascii="Tahoma" w:hAnsi="Tahoma" w:cs="Tahoma"/>
          <w:b/>
          <w:bCs/>
          <w:rtl/>
          <w:lang w:bidi="ar-EG"/>
        </w:rPr>
      </w:pPr>
    </w:p>
    <w:p w14:paraId="7044D9FA" w14:textId="77777777" w:rsidR="00075AFE" w:rsidRPr="00823B72" w:rsidRDefault="00075AFE" w:rsidP="00075AFE">
      <w:pPr>
        <w:rPr>
          <w:rFonts w:ascii="Tahoma" w:hAnsi="Tahoma" w:cs="Tahoma"/>
          <w:rtl/>
          <w:lang w:bidi="ar-EG"/>
        </w:rPr>
      </w:pPr>
      <w:r w:rsidRPr="00823B72">
        <w:rPr>
          <w:rFonts w:ascii="Tahoma" w:hAnsi="Tahoma" w:cs="Tahoma"/>
          <w:rtl/>
          <w:lang w:bidi="ar-EG"/>
        </w:rPr>
        <w:t>الصوم ليس مجرد فضيلة جسدية..</w:t>
      </w:r>
    </w:p>
    <w:p w14:paraId="1C6B5145" w14:textId="77777777" w:rsidR="00075AFE" w:rsidRPr="00823B72" w:rsidRDefault="00075AFE" w:rsidP="00075AFE">
      <w:pPr>
        <w:rPr>
          <w:rFonts w:ascii="Tahoma" w:hAnsi="Tahoma" w:cs="Tahoma"/>
          <w:rtl/>
          <w:lang w:bidi="ar-EG"/>
        </w:rPr>
      </w:pPr>
      <w:r w:rsidRPr="00823B72">
        <w:rPr>
          <w:rFonts w:ascii="Tahoma" w:hAnsi="Tahoma" w:cs="Tahoma"/>
          <w:rtl/>
          <w:lang w:bidi="ar-EG"/>
        </w:rPr>
        <w:t xml:space="preserve">أنه ليس مجرد الامتناع عن طعام فترة زمنية، ثم الانقطاع عن الأطعمة ذات الدسم الحيواني. إنما هناك عنصر روحي فيه.. </w:t>
      </w:r>
    </w:p>
    <w:p w14:paraId="5C198ADF"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t>أول عنصر روحي فيه هو الشجرة على الإرادة.</w:t>
      </w:r>
    </w:p>
    <w:p w14:paraId="5AF17FCD" w14:textId="4CBCBE24" w:rsidR="00075AFE" w:rsidRPr="00823B72" w:rsidRDefault="00075AFE" w:rsidP="00075AFE">
      <w:pPr>
        <w:rPr>
          <w:rFonts w:ascii="Tahoma" w:hAnsi="Tahoma" w:cs="Tahoma"/>
          <w:rtl/>
          <w:lang w:bidi="ar-EG"/>
        </w:rPr>
      </w:pPr>
      <w:r w:rsidRPr="00823B72">
        <w:rPr>
          <w:rFonts w:ascii="Tahoma" w:hAnsi="Tahoma" w:cs="Tahoma"/>
          <w:rtl/>
          <w:lang w:bidi="ar-EG"/>
        </w:rPr>
        <w:t>بنفس الإرادة التي تحكمت في الطعام، يمكن أيضًا السيطرة على الكلام، بالامتناع عن كل لفظ غير لائق. وكذلك السيطرة على الفكر وعلى المشاعر.</w:t>
      </w:r>
    </w:p>
    <w:p w14:paraId="7DC0BFCC" w14:textId="77777777" w:rsidR="00075AFE" w:rsidRPr="00823B72" w:rsidRDefault="00075AFE" w:rsidP="00075AFE">
      <w:pPr>
        <w:rPr>
          <w:rFonts w:ascii="Tahoma" w:hAnsi="Tahoma" w:cs="Tahoma"/>
          <w:rtl/>
          <w:lang w:bidi="ar-EG"/>
        </w:rPr>
      </w:pPr>
      <w:r w:rsidRPr="00823B72">
        <w:rPr>
          <w:rFonts w:ascii="Tahoma" w:hAnsi="Tahoma" w:cs="Tahoma"/>
          <w:rtl/>
          <w:lang w:bidi="ar-EG"/>
        </w:rPr>
        <w:t xml:space="preserve">قال مار إسحق: صوم اللسان خير من صوم الفم. وصوم القلب عن الشهوات، خير من صوم الاثنين. </w:t>
      </w:r>
    </w:p>
    <w:p w14:paraId="668AFDA0"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t xml:space="preserve">العنصر الثاني في الصوم الروحي، هو التوبة: </w:t>
      </w:r>
    </w:p>
    <w:p w14:paraId="7D30E187" w14:textId="77777777" w:rsidR="00075AFE" w:rsidRPr="00823B72" w:rsidRDefault="00075AFE" w:rsidP="00075AFE">
      <w:pPr>
        <w:rPr>
          <w:rFonts w:ascii="Tahoma" w:hAnsi="Tahoma" w:cs="Tahoma"/>
          <w:rtl/>
          <w:lang w:bidi="ar-EG"/>
        </w:rPr>
      </w:pPr>
      <w:r w:rsidRPr="00823B72">
        <w:rPr>
          <w:rFonts w:ascii="Tahoma" w:hAnsi="Tahoma" w:cs="Tahoma"/>
          <w:rtl/>
          <w:lang w:bidi="ar-EG"/>
        </w:rPr>
        <w:t>ونلاحظ في صوم أهل نينوى، إنهم لم يصوموا فقط، وإنما أيضًا "وَيَرْجِعُوا كُلُّ وَاحِدٍ عَنْ طَرِيقِهِ الرَّدِيئَةِ وَعَنِ الظُّلْمِ الَّذِي فِي أَيْدِيهِمْ" وأن الرب نظر إلى هذه التوبة أكثر مما نظر إلى الصوم "فَلَمَّا رَأَى اللهُ أَعْمَالَهُمْ أَنَّهُمْ رَجَعُوا عَنْ طَرِيقِهِمِ الرَّدِيئَةِ، نَدِمَ اللهُ عَلَى الشَّرِّ الَّذِي تَكَلَّمَ أَنْ يَصْنَعَهُ بِهِمْ، فَلَمْ يَصْنَعْهُ" (يون 3: 8-10).</w:t>
      </w:r>
    </w:p>
    <w:p w14:paraId="5748E24A"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t xml:space="preserve">وهكذا يصحب الصوم أيضًا بالتذلل والانسحاق أمام الله: </w:t>
      </w:r>
    </w:p>
    <w:p w14:paraId="221E209A" w14:textId="77777777" w:rsidR="00075AFE" w:rsidRPr="00823B72" w:rsidRDefault="00075AFE" w:rsidP="00075AFE">
      <w:pPr>
        <w:rPr>
          <w:rFonts w:ascii="Tahoma" w:hAnsi="Tahoma" w:cs="Tahoma"/>
          <w:rtl/>
          <w:lang w:bidi="ar-EG"/>
        </w:rPr>
      </w:pPr>
      <w:r w:rsidRPr="00823B72">
        <w:rPr>
          <w:rFonts w:ascii="Tahoma" w:hAnsi="Tahoma" w:cs="Tahoma"/>
          <w:rtl/>
          <w:lang w:bidi="ar-EG"/>
        </w:rPr>
        <w:t>وهذا واضح في صوم نينوى، إذ لبسوا المسوح وجلسوا على الرماد. كما هو واضح في سفر يؤئيل "قَدِّسُوا صَوْمًا. نَادُوا بِاعْتِكَافٍ... لِيَخْرُجِ الْعَرِيسُ مِنْ مِخْدَعِهِ وَالْعَرُوسُ مِنْ حَجَلَتِهَا.</w:t>
      </w:r>
      <w:r w:rsidRPr="00823B72">
        <w:rPr>
          <w:rFonts w:ascii="Tahoma" w:hAnsi="Tahoma" w:cs="Tahoma"/>
          <w:rtl/>
        </w:rPr>
        <w:t xml:space="preserve"> </w:t>
      </w:r>
      <w:r w:rsidRPr="00823B72">
        <w:rPr>
          <w:rFonts w:ascii="Tahoma" w:hAnsi="Tahoma" w:cs="Tahoma"/>
          <w:rtl/>
          <w:lang w:bidi="ar-EG"/>
        </w:rPr>
        <w:t xml:space="preserve">لِيَبْكِ الْكَهَنَةُ خُدَّامُ الرَّبِّ بَيْنَ الرِّواقِ وَالْمَذْبَحِ، وَيَقُولُوا: «اشْفِقْ يَا رَبُّ عَلَى شَعْبِكَ" (يؤ 2: 15-17). </w:t>
      </w:r>
    </w:p>
    <w:p w14:paraId="78D5871D"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lastRenderedPageBreak/>
        <w:t xml:space="preserve">والصوم لا يقتصر على منع الجسد من غذاء، وإنما يجب فيه من الناحية الايجابية، تقيم غذاء للروح. </w:t>
      </w:r>
    </w:p>
    <w:p w14:paraId="32AD5534" w14:textId="77777777" w:rsidR="00075AFE" w:rsidRPr="00823B72" w:rsidRDefault="00075AFE" w:rsidP="00075AFE">
      <w:pPr>
        <w:rPr>
          <w:rFonts w:ascii="Tahoma" w:hAnsi="Tahoma" w:cs="Tahoma"/>
          <w:rtl/>
          <w:lang w:bidi="ar-EG"/>
        </w:rPr>
      </w:pPr>
      <w:r w:rsidRPr="00823B72">
        <w:rPr>
          <w:rFonts w:ascii="Tahoma" w:hAnsi="Tahoma" w:cs="Tahoma"/>
          <w:rtl/>
          <w:lang w:bidi="ar-EG"/>
        </w:rPr>
        <w:t xml:space="preserve">وهكذا يرتبط الصوم بالصلاة، كما تذكر صلوات الكنيسة، وكما حدث في كل الأصوام المشهورة في الكتاب، كصوم نحميا وعزرا ودانيال وأهل نينوى. </w:t>
      </w:r>
    </w:p>
    <w:p w14:paraId="3EAA747F" w14:textId="77777777" w:rsidR="00075AFE" w:rsidRPr="00823B72" w:rsidRDefault="00075AFE" w:rsidP="00075AFE">
      <w:pPr>
        <w:rPr>
          <w:rFonts w:ascii="Tahoma" w:hAnsi="Tahoma" w:cs="Tahoma"/>
          <w:rtl/>
          <w:lang w:bidi="ar-EG"/>
        </w:rPr>
      </w:pPr>
      <w:r w:rsidRPr="00823B72">
        <w:rPr>
          <w:rFonts w:ascii="Tahoma" w:hAnsi="Tahoma" w:cs="Tahoma"/>
          <w:rtl/>
          <w:lang w:bidi="ar-EG"/>
        </w:rPr>
        <w:t>وكما تدل عليه عبارة "نادوا باعتكاف".</w:t>
      </w:r>
    </w:p>
    <w:p w14:paraId="2C44065A"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t xml:space="preserve">إله فرصة روحية، نذل فيه الجسد، لتسمو الروح: </w:t>
      </w:r>
    </w:p>
    <w:p w14:paraId="48B478D8" w14:textId="77777777" w:rsidR="00075AFE" w:rsidRPr="00823B72" w:rsidRDefault="00075AFE" w:rsidP="00075AFE">
      <w:pPr>
        <w:rPr>
          <w:rFonts w:ascii="Tahoma" w:hAnsi="Tahoma" w:cs="Tahoma"/>
          <w:rtl/>
          <w:lang w:bidi="ar-EG"/>
        </w:rPr>
      </w:pPr>
      <w:r w:rsidRPr="00823B72">
        <w:rPr>
          <w:rFonts w:ascii="Tahoma" w:hAnsi="Tahoma" w:cs="Tahoma"/>
          <w:rtl/>
          <w:lang w:bidi="ar-EG"/>
        </w:rPr>
        <w:t xml:space="preserve">إذلال الجسد هو مجرد وسيلة. أما الغرض فهو سمو الروح فتأخذ فرصتها في الصلاة وللتأمل والقراءة وكل وسائط النعمة، بعيدًا عن معطلات الجسد. </w:t>
      </w:r>
    </w:p>
    <w:p w14:paraId="4E8CE19E" w14:textId="77777777" w:rsidR="00075AFE" w:rsidRPr="00823B72" w:rsidRDefault="00075AFE" w:rsidP="00075AFE">
      <w:pPr>
        <w:rPr>
          <w:rFonts w:ascii="Tahoma" w:hAnsi="Tahoma" w:cs="Tahoma"/>
          <w:b/>
          <w:bCs/>
          <w:rtl/>
          <w:lang w:bidi="ar-EG"/>
        </w:rPr>
      </w:pPr>
      <w:r w:rsidRPr="00823B72">
        <w:rPr>
          <w:rFonts w:ascii="Tahoma" w:hAnsi="Tahoma" w:cs="Tahoma"/>
          <w:b/>
          <w:bCs/>
          <w:rtl/>
          <w:lang w:bidi="ar-EG"/>
        </w:rPr>
        <w:t xml:space="preserve">ونلاحظ أن الصوم غير الروحي مرفوض من الله: </w:t>
      </w:r>
    </w:p>
    <w:p w14:paraId="0DB83A80" w14:textId="77777777" w:rsidR="00075AFE" w:rsidRPr="00823B72" w:rsidRDefault="00075AFE" w:rsidP="00075AFE">
      <w:pPr>
        <w:rPr>
          <w:rFonts w:ascii="Tahoma" w:hAnsi="Tahoma" w:cs="Tahoma"/>
          <w:rtl/>
          <w:lang w:bidi="ar-EG"/>
        </w:rPr>
      </w:pPr>
      <w:r w:rsidRPr="00823B72">
        <w:rPr>
          <w:rFonts w:ascii="Tahoma" w:hAnsi="Tahoma" w:cs="Tahoma"/>
          <w:rtl/>
          <w:lang w:bidi="ar-EG"/>
        </w:rPr>
        <w:t xml:space="preserve">كما رفض صوم المرائير (مت 5) وصوم الفريسي (لو 18: 9) والصوم الخاطئ في سفر إشعياء (أش 85: 3-7). </w:t>
      </w:r>
    </w:p>
    <w:p w14:paraId="700E1E38" w14:textId="77777777" w:rsidR="00916C81" w:rsidRPr="00823B72" w:rsidRDefault="00916C81">
      <w:pPr>
        <w:rPr>
          <w:rFonts w:ascii="Tahoma" w:hAnsi="Tahoma" w:cs="Tahoma"/>
          <w:lang w:bidi="ar-EG"/>
        </w:rPr>
      </w:pPr>
    </w:p>
    <w:sectPr w:rsidR="00916C81" w:rsidRPr="00823B7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460E" w14:textId="77777777" w:rsidR="00924B86" w:rsidRDefault="00924B86" w:rsidP="00823B72">
      <w:pPr>
        <w:spacing w:after="0" w:line="240" w:lineRule="auto"/>
      </w:pPr>
      <w:r>
        <w:separator/>
      </w:r>
    </w:p>
  </w:endnote>
  <w:endnote w:type="continuationSeparator" w:id="0">
    <w:p w14:paraId="68A6DC9F" w14:textId="77777777" w:rsidR="00924B86" w:rsidRDefault="00924B86" w:rsidP="0082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FE5A" w14:textId="77777777" w:rsidR="00924B86" w:rsidRDefault="00924B86" w:rsidP="00823B72">
      <w:pPr>
        <w:spacing w:after="0" w:line="240" w:lineRule="auto"/>
      </w:pPr>
      <w:r>
        <w:separator/>
      </w:r>
    </w:p>
  </w:footnote>
  <w:footnote w:type="continuationSeparator" w:id="0">
    <w:p w14:paraId="60874BD9" w14:textId="77777777" w:rsidR="00924B86" w:rsidRDefault="00924B86" w:rsidP="00823B72">
      <w:pPr>
        <w:spacing w:after="0" w:line="240" w:lineRule="auto"/>
      </w:pPr>
      <w:r>
        <w:continuationSeparator/>
      </w:r>
    </w:p>
  </w:footnote>
  <w:footnote w:id="1">
    <w:p w14:paraId="010EEBB4" w14:textId="61B9728F" w:rsidR="00823B72" w:rsidRPr="00823B72" w:rsidRDefault="00823B72" w:rsidP="00823B72">
      <w:pPr>
        <w:pStyle w:val="FootnoteText"/>
        <w:rPr>
          <w:rFonts w:hint="cs"/>
          <w:lang w:bidi="ar-EG"/>
        </w:rPr>
      </w:pPr>
      <w:r>
        <w:rPr>
          <w:rStyle w:val="FootnoteReference"/>
        </w:rPr>
        <w:footnoteRef/>
      </w:r>
      <w:r>
        <w:rPr>
          <w:rtl/>
        </w:rPr>
        <w:t xml:space="preserve"> </w:t>
      </w:r>
      <w:r>
        <w:rPr>
          <w:rFonts w:hint="cs"/>
          <w:rtl/>
          <w:lang w:bidi="ar-EG"/>
        </w:rPr>
        <w:t xml:space="preserve">مقال لقدسة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ثلاثة وثلاثون</w:t>
      </w:r>
      <w:r w:rsidRPr="00CF3DBE">
        <w:rPr>
          <w:rtl/>
          <w:lang w:bidi="ar-EG"/>
        </w:rPr>
        <w:t xml:space="preserve"> </w:t>
      </w:r>
      <w:r>
        <w:rPr>
          <w:rFonts w:hint="cs"/>
          <w:rtl/>
          <w:lang w:bidi="ar-EG"/>
        </w:rPr>
        <w:t>18</w:t>
      </w:r>
      <w:r w:rsidRPr="00CF3DBE">
        <w:rPr>
          <w:rtl/>
          <w:lang w:bidi="ar-EG"/>
        </w:rPr>
        <w:t xml:space="preserve"> </w:t>
      </w:r>
      <w:r>
        <w:rPr>
          <w:rFonts w:hint="cs"/>
          <w:rtl/>
          <w:lang w:bidi="ar-EG"/>
        </w:rPr>
        <w:t>أغسطس</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75"/>
    <w:rsid w:val="00075AFE"/>
    <w:rsid w:val="00473C82"/>
    <w:rsid w:val="00823B72"/>
    <w:rsid w:val="00916C81"/>
    <w:rsid w:val="00924B86"/>
    <w:rsid w:val="00A96675"/>
    <w:rsid w:val="00BF0DA2"/>
    <w:rsid w:val="00E321A2"/>
    <w:rsid w:val="00F175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7E81"/>
  <w15:chartTrackingRefBased/>
  <w15:docId w15:val="{DF3587BE-756A-4DCD-8407-2D670D1A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FE"/>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3B72"/>
    <w:pPr>
      <w:spacing w:after="0" w:line="240" w:lineRule="auto"/>
    </w:pPr>
    <w:rPr>
      <w:sz w:val="20"/>
      <w:szCs w:val="20"/>
    </w:rPr>
  </w:style>
  <w:style w:type="character" w:customStyle="1" w:styleId="FootnoteTextChar">
    <w:name w:val="Footnote Text Char"/>
    <w:basedOn w:val="DefaultParagraphFont"/>
    <w:link w:val="FootnoteText"/>
    <w:uiPriority w:val="99"/>
    <w:rsid w:val="00823B72"/>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823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D562-12CA-4365-AD4F-62B9C3BB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cp:revision>
  <dcterms:created xsi:type="dcterms:W3CDTF">2024-08-24T18:02:00Z</dcterms:created>
  <dcterms:modified xsi:type="dcterms:W3CDTF">2026-07-27T11:12:00Z</dcterms:modified>
</cp:coreProperties>
</file>